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0781" w14:textId="77777777" w:rsidR="00560857" w:rsidRPr="00347A66" w:rsidRDefault="00560857" w:rsidP="00AD4958">
      <w:pPr>
        <w:spacing w:line="360" w:lineRule="auto"/>
        <w:ind w:left="-144" w:right="-288"/>
        <w:jc w:val="both"/>
        <w:rPr>
          <w:rFonts w:ascii="Arial" w:hAnsi="Arial" w:cs="Arial"/>
          <w:b/>
          <w:color w:val="FF0000"/>
        </w:rPr>
      </w:pPr>
    </w:p>
    <w:p w14:paraId="1DB86809" w14:textId="69A63C20" w:rsidR="00560857" w:rsidRPr="00347A66" w:rsidRDefault="00560857" w:rsidP="00AD4958">
      <w:pPr>
        <w:spacing w:line="360" w:lineRule="auto"/>
        <w:ind w:left="-144" w:right="-288"/>
        <w:outlineLvl w:val="0"/>
        <w:rPr>
          <w:rFonts w:ascii="Arial" w:hAnsi="Arial" w:cs="Arial"/>
          <w:b/>
        </w:rPr>
      </w:pPr>
      <w:r w:rsidRPr="00347A66">
        <w:rPr>
          <w:rFonts w:ascii="Arial" w:hAnsi="Arial" w:cs="Arial"/>
          <w:b/>
        </w:rPr>
        <w:t xml:space="preserve">Broj: </w:t>
      </w:r>
      <w:r w:rsidR="00AD4958">
        <w:rPr>
          <w:rFonts w:ascii="Arial" w:hAnsi="Arial" w:cs="Arial"/>
          <w:b/>
        </w:rPr>
        <w:t>S1 2 K 050727 25 Kv</w:t>
      </w:r>
    </w:p>
    <w:p w14:paraId="467BE7A1" w14:textId="6E59B5B7" w:rsidR="00560857" w:rsidRPr="00347A66" w:rsidRDefault="00560857" w:rsidP="00AD4958">
      <w:pPr>
        <w:spacing w:line="360" w:lineRule="auto"/>
        <w:ind w:left="-144" w:right="-288"/>
        <w:outlineLvl w:val="0"/>
        <w:rPr>
          <w:rFonts w:ascii="Arial" w:hAnsi="Arial" w:cs="Arial"/>
          <w:b/>
        </w:rPr>
      </w:pPr>
      <w:r w:rsidRPr="00347A66">
        <w:rPr>
          <w:rFonts w:ascii="Arial" w:hAnsi="Arial" w:cs="Arial"/>
          <w:b/>
        </w:rPr>
        <w:t xml:space="preserve">Sarajevo, </w:t>
      </w:r>
      <w:r w:rsidR="00AD4958">
        <w:rPr>
          <w:rFonts w:ascii="Arial" w:hAnsi="Arial" w:cs="Arial"/>
          <w:b/>
        </w:rPr>
        <w:t>10.01.2025</w:t>
      </w:r>
      <w:r w:rsidRPr="00347A66">
        <w:rPr>
          <w:rFonts w:ascii="Arial" w:hAnsi="Arial" w:cs="Arial"/>
          <w:b/>
        </w:rPr>
        <w:t>. godine</w:t>
      </w:r>
    </w:p>
    <w:p w14:paraId="1A71D479" w14:textId="77777777" w:rsidR="00560857" w:rsidRPr="00347A66" w:rsidRDefault="00560857" w:rsidP="00AD4958">
      <w:pPr>
        <w:tabs>
          <w:tab w:val="left" w:pos="8640"/>
        </w:tabs>
        <w:spacing w:line="360" w:lineRule="auto"/>
        <w:ind w:left="-144" w:right="-288"/>
        <w:jc w:val="both"/>
        <w:rPr>
          <w:rFonts w:ascii="Arial" w:hAnsi="Arial" w:cs="Arial"/>
          <w:b/>
          <w:highlight w:val="yellow"/>
        </w:rPr>
      </w:pPr>
    </w:p>
    <w:p w14:paraId="1BF0D64A" w14:textId="6C21223F" w:rsidR="00560857" w:rsidRPr="00347A66" w:rsidRDefault="00560857" w:rsidP="00AD4958">
      <w:pPr>
        <w:tabs>
          <w:tab w:val="left" w:pos="8640"/>
        </w:tabs>
        <w:spacing w:line="360" w:lineRule="auto"/>
        <w:ind w:left="-144" w:right="-288"/>
        <w:jc w:val="both"/>
        <w:rPr>
          <w:rFonts w:ascii="Arial" w:hAnsi="Arial" w:cs="Arial"/>
        </w:rPr>
      </w:pPr>
      <w:r w:rsidRPr="00347A66">
        <w:rPr>
          <w:rFonts w:ascii="Arial" w:eastAsia="Arial Unicode MS" w:hAnsi="Arial" w:cs="Arial"/>
          <w:bCs/>
          <w:iCs/>
        </w:rPr>
        <w:t>Sud Bosne i Hercegovine,</w:t>
      </w:r>
      <w:r w:rsidRPr="00347A66">
        <w:rPr>
          <w:rFonts w:ascii="Arial" w:hAnsi="Arial" w:cs="Arial"/>
        </w:rPr>
        <w:t xml:space="preserve"> </w:t>
      </w:r>
      <w:r w:rsidRPr="00347A66">
        <w:rPr>
          <w:rFonts w:ascii="Arial" w:eastAsia="Arial Unicode MS" w:hAnsi="Arial" w:cs="Arial"/>
          <w:bCs/>
          <w:iCs/>
        </w:rPr>
        <w:t xml:space="preserve">u Vijeću sastavljenom od </w:t>
      </w:r>
      <w:r w:rsidRPr="00347A66">
        <w:rPr>
          <w:rFonts w:ascii="Arial" w:hAnsi="Arial" w:cs="Arial"/>
        </w:rPr>
        <w:t xml:space="preserve">sudije </w:t>
      </w:r>
      <w:r w:rsidR="00AD4958">
        <w:rPr>
          <w:rFonts w:ascii="Arial" w:hAnsi="Arial" w:cs="Arial"/>
        </w:rPr>
        <w:t>Minke Kreho</w:t>
      </w:r>
      <w:r w:rsidRPr="00347A66">
        <w:rPr>
          <w:rFonts w:ascii="Arial" w:hAnsi="Arial" w:cs="Arial"/>
        </w:rPr>
        <w:t xml:space="preserve">, kao predsjednika </w:t>
      </w:r>
      <w:r w:rsidR="00864DF2">
        <w:rPr>
          <w:rFonts w:ascii="Arial" w:hAnsi="Arial" w:cs="Arial"/>
        </w:rPr>
        <w:t>v</w:t>
      </w:r>
      <w:r w:rsidRPr="00347A66">
        <w:rPr>
          <w:rFonts w:ascii="Arial" w:hAnsi="Arial" w:cs="Arial"/>
        </w:rPr>
        <w:t xml:space="preserve">ijeća, te sudija </w:t>
      </w:r>
      <w:r w:rsidR="00AD4958">
        <w:rPr>
          <w:rFonts w:ascii="Arial" w:hAnsi="Arial" w:cs="Arial"/>
        </w:rPr>
        <w:t>Tanje Curović i Željke Marenić</w:t>
      </w:r>
      <w:r w:rsidRPr="00347A66">
        <w:rPr>
          <w:rFonts w:ascii="Arial" w:hAnsi="Arial" w:cs="Arial"/>
        </w:rPr>
        <w:t xml:space="preserve">, kao članova </w:t>
      </w:r>
      <w:r w:rsidR="00864DF2">
        <w:rPr>
          <w:rFonts w:ascii="Arial" w:hAnsi="Arial" w:cs="Arial"/>
        </w:rPr>
        <w:t>v</w:t>
      </w:r>
      <w:r w:rsidRPr="00347A66">
        <w:rPr>
          <w:rFonts w:ascii="Arial" w:hAnsi="Arial" w:cs="Arial"/>
        </w:rPr>
        <w:t>ijeća</w:t>
      </w:r>
      <w:r w:rsidR="00864DF2">
        <w:rPr>
          <w:rFonts w:ascii="Arial" w:hAnsi="Arial" w:cs="Arial"/>
        </w:rPr>
        <w:t>,</w:t>
      </w:r>
      <w:r w:rsidRPr="00347A66">
        <w:rPr>
          <w:rFonts w:ascii="Arial" w:hAnsi="Arial" w:cs="Arial"/>
        </w:rPr>
        <w:t xml:space="preserve"> u krivičnom postupku protiv </w:t>
      </w:r>
      <w:r w:rsidR="00AD4958">
        <w:rPr>
          <w:rFonts w:ascii="Arial" w:hAnsi="Arial" w:cs="Arial"/>
        </w:rPr>
        <w:t>optuženog G</w:t>
      </w:r>
      <w:r w:rsidR="0018702D">
        <w:rPr>
          <w:rFonts w:ascii="Arial" w:hAnsi="Arial" w:cs="Arial"/>
        </w:rPr>
        <w:t>.</w:t>
      </w:r>
      <w:r w:rsidR="00AD4958">
        <w:rPr>
          <w:rFonts w:ascii="Arial" w:hAnsi="Arial" w:cs="Arial"/>
        </w:rPr>
        <w:t>O</w:t>
      </w:r>
      <w:r w:rsidR="0018702D">
        <w:rPr>
          <w:rFonts w:ascii="Arial" w:hAnsi="Arial" w:cs="Arial"/>
        </w:rPr>
        <w:t>.</w:t>
      </w:r>
      <w:r w:rsidR="00AD4958">
        <w:rPr>
          <w:rFonts w:ascii="Arial" w:hAnsi="Arial" w:cs="Arial"/>
        </w:rPr>
        <w:t xml:space="preserve"> zbog krivičnog djela </w:t>
      </w:r>
      <w:r w:rsidRPr="00347A66">
        <w:rPr>
          <w:rFonts w:ascii="Arial" w:hAnsi="Arial" w:cs="Arial"/>
        </w:rPr>
        <w:t>Organizovani kriminal iz člana 250. stav 2. Krivičnog zakona Bosne i Hercegovine (KZ</w:t>
      </w:r>
      <w:r w:rsidR="00AD4958">
        <w:rPr>
          <w:rFonts w:ascii="Arial" w:hAnsi="Arial" w:cs="Arial"/>
        </w:rPr>
        <w:t xml:space="preserve"> </w:t>
      </w:r>
      <w:r w:rsidRPr="00347A66">
        <w:rPr>
          <w:rFonts w:ascii="Arial" w:hAnsi="Arial" w:cs="Arial"/>
        </w:rPr>
        <w:t xml:space="preserve">BiH), u vezi sa krivičnim djelom Neovlašteni promet opojnim drogama iz člana 195. stav 1. </w:t>
      </w:r>
      <w:r w:rsidR="00AD4958">
        <w:rPr>
          <w:rFonts w:ascii="Arial" w:hAnsi="Arial" w:cs="Arial"/>
        </w:rPr>
        <w:t>istog Zakona</w:t>
      </w:r>
      <w:r w:rsidRPr="00347A66">
        <w:rPr>
          <w:rFonts w:ascii="Arial" w:hAnsi="Arial" w:cs="Arial"/>
          <w:iCs/>
          <w:lang w:eastAsia="hr-HR"/>
        </w:rPr>
        <w:t>,</w:t>
      </w:r>
      <w:r w:rsidRPr="00347A66">
        <w:rPr>
          <w:rFonts w:ascii="Arial" w:hAnsi="Arial" w:cs="Arial"/>
          <w:i/>
          <w:lang w:eastAsia="hr-HR"/>
        </w:rPr>
        <w:t xml:space="preserve"> </w:t>
      </w:r>
      <w:r w:rsidRPr="00347A66">
        <w:rPr>
          <w:rFonts w:ascii="Arial" w:hAnsi="Arial" w:cs="Arial"/>
          <w:iCs/>
        </w:rPr>
        <w:t>o</w:t>
      </w:r>
      <w:r w:rsidRPr="00347A66">
        <w:rPr>
          <w:rFonts w:ascii="Arial" w:hAnsi="Arial" w:cs="Arial"/>
        </w:rPr>
        <w:t xml:space="preserve">dlučujući o </w:t>
      </w:r>
      <w:bookmarkStart w:id="0" w:name="_Hlk187320297"/>
      <w:r w:rsidR="00864DF2">
        <w:rPr>
          <w:rFonts w:ascii="Arial" w:hAnsi="Arial" w:cs="Arial"/>
        </w:rPr>
        <w:t>P</w:t>
      </w:r>
      <w:r w:rsidR="00AD4958">
        <w:rPr>
          <w:rFonts w:ascii="Arial" w:hAnsi="Arial" w:cs="Arial"/>
        </w:rPr>
        <w:t>rijedlogu Tužilaštva BiH, broj T20 0 KTOV 0024773 24 od 03.01.2025. godine</w:t>
      </w:r>
      <w:bookmarkEnd w:id="0"/>
      <w:r w:rsidR="00AD4958">
        <w:rPr>
          <w:rFonts w:ascii="Arial" w:hAnsi="Arial" w:cs="Arial"/>
        </w:rPr>
        <w:t xml:space="preserve"> o produženju pritvora nakon potvrđivanja optužnice</w:t>
      </w:r>
      <w:r w:rsidRPr="00347A66">
        <w:rPr>
          <w:rFonts w:ascii="Arial" w:hAnsi="Arial" w:cs="Arial"/>
        </w:rPr>
        <w:t xml:space="preserve">, na osnovu </w:t>
      </w:r>
      <w:r w:rsidR="00864DF2">
        <w:rPr>
          <w:rFonts w:ascii="Arial" w:hAnsi="Arial" w:cs="Arial"/>
        </w:rPr>
        <w:t>odredbe člana 137. stav 2. tačka c)</w:t>
      </w:r>
      <w:r w:rsidRPr="00347A66">
        <w:rPr>
          <w:rFonts w:ascii="Arial" w:eastAsia="Arial Unicode MS" w:hAnsi="Arial" w:cs="Arial"/>
          <w:bCs/>
          <w:iCs/>
        </w:rPr>
        <w:t xml:space="preserve"> Zakona o krivičnom postupku Bosne i Hercegovine (ZKP</w:t>
      </w:r>
      <w:r w:rsidR="00864DF2">
        <w:rPr>
          <w:rFonts w:ascii="Arial" w:eastAsia="Arial Unicode MS" w:hAnsi="Arial" w:cs="Arial"/>
          <w:bCs/>
          <w:iCs/>
        </w:rPr>
        <w:t xml:space="preserve"> </w:t>
      </w:r>
      <w:r w:rsidRPr="00347A66">
        <w:rPr>
          <w:rFonts w:ascii="Arial" w:eastAsia="Arial Unicode MS" w:hAnsi="Arial" w:cs="Arial"/>
          <w:bCs/>
          <w:iCs/>
        </w:rPr>
        <w:t>BiH), u vezi sa članom 132. stav 1. tačka a) ZKP</w:t>
      </w:r>
      <w:r w:rsidR="00864DF2">
        <w:rPr>
          <w:rFonts w:ascii="Arial" w:eastAsia="Arial Unicode MS" w:hAnsi="Arial" w:cs="Arial"/>
          <w:bCs/>
          <w:iCs/>
        </w:rPr>
        <w:t xml:space="preserve"> </w:t>
      </w:r>
      <w:r w:rsidRPr="00347A66">
        <w:rPr>
          <w:rFonts w:ascii="Arial" w:eastAsia="Arial Unicode MS" w:hAnsi="Arial" w:cs="Arial"/>
          <w:bCs/>
          <w:iCs/>
        </w:rPr>
        <w:t>BiH</w:t>
      </w:r>
      <w:r w:rsidRPr="00347A66">
        <w:rPr>
          <w:rFonts w:ascii="Arial" w:hAnsi="Arial" w:cs="Arial"/>
        </w:rPr>
        <w:t xml:space="preserve">, nakon održanog ročišta kojem su prisustvovali </w:t>
      </w:r>
      <w:r w:rsidR="00864DF2">
        <w:rPr>
          <w:rFonts w:ascii="Arial" w:hAnsi="Arial" w:cs="Arial"/>
        </w:rPr>
        <w:t>postupajući tužilac Tužilaštva BiH, optuženi</w:t>
      </w:r>
      <w:r w:rsidRPr="00347A66">
        <w:rPr>
          <w:rFonts w:ascii="Arial" w:hAnsi="Arial" w:cs="Arial"/>
        </w:rPr>
        <w:t xml:space="preserve"> G</w:t>
      </w:r>
      <w:r w:rsidR="0018702D">
        <w:rPr>
          <w:rFonts w:ascii="Arial" w:hAnsi="Arial" w:cs="Arial"/>
        </w:rPr>
        <w:t>.</w:t>
      </w:r>
      <w:r w:rsidRPr="00347A66">
        <w:rPr>
          <w:rFonts w:ascii="Arial" w:hAnsi="Arial" w:cs="Arial"/>
        </w:rPr>
        <w:t>O</w:t>
      </w:r>
      <w:r w:rsidR="0018702D">
        <w:rPr>
          <w:rFonts w:ascii="Arial" w:hAnsi="Arial" w:cs="Arial"/>
        </w:rPr>
        <w:t>.</w:t>
      </w:r>
      <w:r w:rsidRPr="00347A66">
        <w:rPr>
          <w:rFonts w:ascii="Arial" w:hAnsi="Arial" w:cs="Arial"/>
        </w:rPr>
        <w:t xml:space="preserve"> i njegov branilac, advokat </w:t>
      </w:r>
      <w:r w:rsidR="00BF4FBB">
        <w:rPr>
          <w:rFonts w:ascii="Arial" w:hAnsi="Arial" w:cs="Arial"/>
        </w:rPr>
        <w:t>Lejla Čović (u zamjeni)</w:t>
      </w:r>
      <w:r w:rsidRPr="00347A66">
        <w:rPr>
          <w:rFonts w:ascii="Arial" w:hAnsi="Arial" w:cs="Arial"/>
        </w:rPr>
        <w:t xml:space="preserve">, dana </w:t>
      </w:r>
      <w:r w:rsidR="00864DF2">
        <w:rPr>
          <w:rFonts w:ascii="Arial" w:hAnsi="Arial" w:cs="Arial"/>
        </w:rPr>
        <w:t>10.01.2025</w:t>
      </w:r>
      <w:r w:rsidRPr="00347A66">
        <w:rPr>
          <w:rFonts w:ascii="Arial" w:hAnsi="Arial" w:cs="Arial"/>
        </w:rPr>
        <w:t>. godine donio je sljedeće:</w:t>
      </w:r>
    </w:p>
    <w:p w14:paraId="799F9685" w14:textId="77777777" w:rsidR="00560857" w:rsidRPr="00347A66" w:rsidRDefault="00560857" w:rsidP="00AD4958">
      <w:pPr>
        <w:spacing w:line="360" w:lineRule="auto"/>
        <w:ind w:left="-144" w:right="-288"/>
        <w:jc w:val="both"/>
        <w:rPr>
          <w:rFonts w:ascii="Arial" w:hAnsi="Arial" w:cs="Arial"/>
          <w:b/>
        </w:rPr>
      </w:pPr>
    </w:p>
    <w:p w14:paraId="124549C6" w14:textId="2FCF82F5" w:rsidR="00560857" w:rsidRPr="00347A66" w:rsidRDefault="00560857" w:rsidP="00AD4958">
      <w:pPr>
        <w:spacing w:after="283" w:line="360" w:lineRule="auto"/>
        <w:ind w:left="-144" w:right="-288"/>
        <w:jc w:val="center"/>
        <w:rPr>
          <w:rFonts w:ascii="Arial" w:eastAsia="Arial Unicode MS" w:hAnsi="Arial" w:cs="Arial"/>
          <w:b/>
          <w:bCs/>
          <w:iCs/>
        </w:rPr>
      </w:pPr>
      <w:r w:rsidRPr="00347A66">
        <w:rPr>
          <w:rFonts w:ascii="Arial" w:eastAsia="Arial Unicode MS" w:hAnsi="Arial" w:cs="Arial"/>
          <w:b/>
          <w:bCs/>
          <w:iCs/>
        </w:rPr>
        <w:t>R J E Š E N</w:t>
      </w:r>
      <w:r w:rsidR="00864DF2">
        <w:rPr>
          <w:rFonts w:ascii="Arial" w:eastAsia="Arial Unicode MS" w:hAnsi="Arial" w:cs="Arial"/>
          <w:b/>
          <w:bCs/>
          <w:iCs/>
        </w:rPr>
        <w:t xml:space="preserve"> </w:t>
      </w:r>
      <w:r w:rsidRPr="00347A66">
        <w:rPr>
          <w:rFonts w:ascii="Arial" w:eastAsia="Arial Unicode MS" w:hAnsi="Arial" w:cs="Arial"/>
          <w:b/>
          <w:bCs/>
          <w:iCs/>
        </w:rPr>
        <w:t>J E</w:t>
      </w:r>
    </w:p>
    <w:p w14:paraId="072BF9D7" w14:textId="77777777" w:rsidR="00560857" w:rsidRPr="00347A66" w:rsidRDefault="00560857" w:rsidP="00AD4958">
      <w:pPr>
        <w:spacing w:line="360" w:lineRule="auto"/>
        <w:ind w:left="-144" w:right="-288"/>
        <w:rPr>
          <w:rFonts w:ascii="Arial" w:hAnsi="Arial" w:cs="Arial"/>
          <w:b/>
          <w:bCs/>
          <w:noProof/>
        </w:rPr>
      </w:pPr>
    </w:p>
    <w:p w14:paraId="7E97F640" w14:textId="3005FA84" w:rsidR="00560857" w:rsidRPr="00347A66" w:rsidRDefault="00560857" w:rsidP="00AD4958">
      <w:pPr>
        <w:spacing w:line="360" w:lineRule="auto"/>
        <w:ind w:left="-144" w:right="-288"/>
        <w:jc w:val="both"/>
        <w:rPr>
          <w:rFonts w:ascii="Arial" w:hAnsi="Arial" w:cs="Arial"/>
          <w:b/>
        </w:rPr>
      </w:pPr>
      <w:r w:rsidRPr="00347A66">
        <w:rPr>
          <w:rFonts w:ascii="Arial" w:hAnsi="Arial" w:cs="Arial"/>
          <w:b/>
          <w:bCs/>
        </w:rPr>
        <w:t xml:space="preserve">Prihvata se </w:t>
      </w:r>
      <w:r w:rsidR="00864DF2" w:rsidRPr="00864DF2">
        <w:rPr>
          <w:rFonts w:ascii="Arial" w:hAnsi="Arial" w:cs="Arial"/>
          <w:b/>
          <w:bCs/>
        </w:rPr>
        <w:t>Prijedlog Tužilaštva BiH, broj T20 0 KTOV 0024773 24 od 03.01.2025. godine</w:t>
      </w:r>
      <w:r w:rsidRPr="00347A66">
        <w:rPr>
          <w:rFonts w:ascii="Arial" w:hAnsi="Arial" w:cs="Arial"/>
          <w:b/>
        </w:rPr>
        <w:t xml:space="preserve">,  te se prema </w:t>
      </w:r>
      <w:r w:rsidR="00864DF2">
        <w:rPr>
          <w:rFonts w:ascii="Arial" w:hAnsi="Arial" w:cs="Arial"/>
          <w:b/>
        </w:rPr>
        <w:t>optuženom</w:t>
      </w:r>
      <w:r w:rsidRPr="00347A66">
        <w:rPr>
          <w:rFonts w:ascii="Arial" w:hAnsi="Arial" w:cs="Arial"/>
          <w:b/>
        </w:rPr>
        <w:t>:</w:t>
      </w:r>
    </w:p>
    <w:p w14:paraId="26CEE8DE" w14:textId="77777777" w:rsidR="00560857" w:rsidRPr="00347A66" w:rsidRDefault="00560857" w:rsidP="00AD4958">
      <w:pPr>
        <w:spacing w:line="360" w:lineRule="auto"/>
        <w:ind w:left="-144" w:right="-288"/>
        <w:jc w:val="both"/>
        <w:rPr>
          <w:rFonts w:ascii="Arial" w:hAnsi="Arial" w:cs="Arial"/>
          <w:b/>
          <w:bCs/>
        </w:rPr>
      </w:pPr>
    </w:p>
    <w:p w14:paraId="6AC84A9D" w14:textId="3A7C8EB0" w:rsidR="00560857" w:rsidRPr="00347A66" w:rsidRDefault="00560857" w:rsidP="00AD4958">
      <w:pPr>
        <w:spacing w:line="360" w:lineRule="auto"/>
        <w:ind w:left="-144" w:right="-288"/>
        <w:jc w:val="both"/>
        <w:rPr>
          <w:rFonts w:ascii="Arial" w:hAnsi="Arial" w:cs="Arial"/>
        </w:rPr>
      </w:pPr>
      <w:r w:rsidRPr="00347A66">
        <w:rPr>
          <w:rFonts w:ascii="Arial" w:hAnsi="Arial" w:cs="Arial"/>
          <w:b/>
        </w:rPr>
        <w:t>G</w:t>
      </w:r>
      <w:r w:rsidR="0018702D">
        <w:rPr>
          <w:rFonts w:ascii="Arial" w:hAnsi="Arial" w:cs="Arial"/>
          <w:b/>
        </w:rPr>
        <w:t>.</w:t>
      </w:r>
      <w:r w:rsidRPr="00347A66">
        <w:rPr>
          <w:rFonts w:ascii="Arial" w:hAnsi="Arial" w:cs="Arial"/>
          <w:b/>
        </w:rPr>
        <w:t>O</w:t>
      </w:r>
      <w:r w:rsidR="0018702D">
        <w:rPr>
          <w:rFonts w:ascii="Arial" w:hAnsi="Arial" w:cs="Arial"/>
          <w:b/>
        </w:rPr>
        <w:t xml:space="preserve">. </w:t>
      </w:r>
      <w:r w:rsidRPr="00AC64B3">
        <w:rPr>
          <w:rFonts w:ascii="Arial" w:hAnsi="Arial" w:cs="Arial"/>
          <w:bCs/>
        </w:rPr>
        <w:t>sin M</w:t>
      </w:r>
      <w:r w:rsidR="00FF1E34">
        <w:rPr>
          <w:rFonts w:ascii="Arial" w:hAnsi="Arial" w:cs="Arial"/>
          <w:bCs/>
        </w:rPr>
        <w:t>.</w:t>
      </w:r>
      <w:r w:rsidRPr="00AC64B3">
        <w:rPr>
          <w:rFonts w:ascii="Arial" w:hAnsi="Arial" w:cs="Arial"/>
          <w:bCs/>
        </w:rPr>
        <w:t>,</w:t>
      </w:r>
      <w:r w:rsidRPr="00347A66">
        <w:rPr>
          <w:rFonts w:ascii="Arial" w:hAnsi="Arial" w:cs="Arial"/>
        </w:rPr>
        <w:t xml:space="preserve"> rođen </w:t>
      </w:r>
      <w:r w:rsidR="00540AA6">
        <w:rPr>
          <w:rFonts w:ascii="Arial" w:hAnsi="Arial" w:cs="Arial"/>
        </w:rPr>
        <w:t>...</w:t>
      </w:r>
      <w:r w:rsidRPr="00347A66">
        <w:rPr>
          <w:rFonts w:ascii="Arial" w:hAnsi="Arial" w:cs="Arial"/>
        </w:rPr>
        <w:t xml:space="preserve"> godine u N</w:t>
      </w:r>
      <w:r w:rsidR="00540AA6">
        <w:rPr>
          <w:rFonts w:ascii="Arial" w:hAnsi="Arial" w:cs="Arial"/>
        </w:rPr>
        <w:t>.</w:t>
      </w:r>
      <w:r w:rsidRPr="00347A66">
        <w:rPr>
          <w:rFonts w:ascii="Arial" w:hAnsi="Arial" w:cs="Arial"/>
        </w:rPr>
        <w:t xml:space="preserve"> </w:t>
      </w:r>
      <w:r w:rsidR="00864DF2">
        <w:rPr>
          <w:rFonts w:ascii="Arial" w:hAnsi="Arial" w:cs="Arial"/>
        </w:rPr>
        <w:t xml:space="preserve">Republika </w:t>
      </w:r>
      <w:r w:rsidRPr="00347A66">
        <w:rPr>
          <w:rFonts w:ascii="Arial" w:hAnsi="Arial" w:cs="Arial"/>
        </w:rPr>
        <w:t>C</w:t>
      </w:r>
      <w:r w:rsidR="00540AA6">
        <w:rPr>
          <w:rFonts w:ascii="Arial" w:hAnsi="Arial" w:cs="Arial"/>
        </w:rPr>
        <w:t>.G.</w:t>
      </w:r>
      <w:r w:rsidRPr="00347A66">
        <w:rPr>
          <w:rFonts w:ascii="Arial" w:hAnsi="Arial" w:cs="Arial"/>
        </w:rPr>
        <w:t xml:space="preserve"> JMB:</w:t>
      </w:r>
      <w:r w:rsidR="0018702D">
        <w:rPr>
          <w:rFonts w:ascii="Arial" w:hAnsi="Arial" w:cs="Arial"/>
        </w:rPr>
        <w:t xml:space="preserve"> ...</w:t>
      </w:r>
      <w:r w:rsidRPr="00347A66">
        <w:rPr>
          <w:rFonts w:ascii="Arial" w:hAnsi="Arial" w:cs="Arial"/>
        </w:rPr>
        <w:t xml:space="preserve"> </w:t>
      </w:r>
      <w:r w:rsidR="00864DF2" w:rsidRPr="00540AA6">
        <w:rPr>
          <w:rFonts w:ascii="Arial" w:hAnsi="Arial" w:cs="Arial"/>
        </w:rPr>
        <w:t>nastanjen na adresi N</w:t>
      </w:r>
      <w:r w:rsidR="0018702D" w:rsidRPr="00540AA6">
        <w:rPr>
          <w:rFonts w:ascii="Arial" w:hAnsi="Arial" w:cs="Arial"/>
        </w:rPr>
        <w:t>.</w:t>
      </w:r>
      <w:r w:rsidR="00864DF2" w:rsidRPr="00540AA6">
        <w:rPr>
          <w:rFonts w:ascii="Arial" w:hAnsi="Arial" w:cs="Arial"/>
        </w:rPr>
        <w:t xml:space="preserve"> </w:t>
      </w:r>
      <w:r w:rsidR="0018702D" w:rsidRPr="00540AA6">
        <w:rPr>
          <w:rFonts w:ascii="Arial" w:hAnsi="Arial" w:cs="Arial"/>
        </w:rPr>
        <w:t>...</w:t>
      </w:r>
      <w:r w:rsidR="00864DF2" w:rsidRPr="00540AA6">
        <w:rPr>
          <w:rFonts w:ascii="Arial" w:hAnsi="Arial" w:cs="Arial"/>
        </w:rPr>
        <w:t xml:space="preserve"> Č</w:t>
      </w:r>
      <w:r w:rsidR="00540AA6">
        <w:rPr>
          <w:rFonts w:ascii="Arial" w:hAnsi="Arial" w:cs="Arial"/>
        </w:rPr>
        <w:t xml:space="preserve">. </w:t>
      </w:r>
      <w:r w:rsidR="00864DF2" w:rsidRPr="00540AA6">
        <w:rPr>
          <w:rFonts w:ascii="Arial" w:hAnsi="Arial" w:cs="Arial"/>
        </w:rPr>
        <w:t xml:space="preserve">Republika, </w:t>
      </w:r>
      <w:r w:rsidRPr="00540AA6">
        <w:rPr>
          <w:rFonts w:ascii="Arial" w:hAnsi="Arial" w:cs="Arial"/>
        </w:rPr>
        <w:t>državljanin</w:t>
      </w:r>
      <w:r w:rsidRPr="00347A66">
        <w:rPr>
          <w:rFonts w:ascii="Arial" w:hAnsi="Arial" w:cs="Arial"/>
        </w:rPr>
        <w:t xml:space="preserve"> </w:t>
      </w:r>
      <w:r w:rsidR="00864DF2">
        <w:rPr>
          <w:rFonts w:ascii="Arial" w:hAnsi="Arial" w:cs="Arial"/>
        </w:rPr>
        <w:t>R</w:t>
      </w:r>
      <w:r w:rsidR="00540AA6">
        <w:rPr>
          <w:rFonts w:ascii="Arial" w:hAnsi="Arial" w:cs="Arial"/>
        </w:rPr>
        <w:t>epublike</w:t>
      </w:r>
      <w:r w:rsidR="00864DF2">
        <w:rPr>
          <w:rFonts w:ascii="Arial" w:hAnsi="Arial" w:cs="Arial"/>
        </w:rPr>
        <w:t xml:space="preserve"> </w:t>
      </w:r>
      <w:r w:rsidRPr="00347A66">
        <w:rPr>
          <w:rFonts w:ascii="Arial" w:hAnsi="Arial" w:cs="Arial"/>
        </w:rPr>
        <w:t>C</w:t>
      </w:r>
      <w:r w:rsidR="00540AA6">
        <w:rPr>
          <w:rFonts w:ascii="Arial" w:hAnsi="Arial" w:cs="Arial"/>
        </w:rPr>
        <w:t>.</w:t>
      </w:r>
      <w:r w:rsidRPr="00347A66">
        <w:rPr>
          <w:rFonts w:ascii="Arial" w:hAnsi="Arial" w:cs="Arial"/>
        </w:rPr>
        <w:t>G</w:t>
      </w:r>
      <w:r w:rsidR="00540AA6">
        <w:rPr>
          <w:rFonts w:ascii="Arial" w:hAnsi="Arial" w:cs="Arial"/>
        </w:rPr>
        <w:t>.</w:t>
      </w:r>
      <w:r w:rsidR="00864DF2">
        <w:rPr>
          <w:rFonts w:ascii="Arial" w:hAnsi="Arial" w:cs="Arial"/>
        </w:rPr>
        <w:t xml:space="preserve"> završena srednja ekonomska škola</w:t>
      </w:r>
      <w:r w:rsidRPr="00347A66">
        <w:rPr>
          <w:rFonts w:ascii="Arial" w:hAnsi="Arial" w:cs="Arial"/>
        </w:rPr>
        <w:t xml:space="preserve">, oženjen, </w:t>
      </w:r>
      <w:r w:rsidR="00864DF2">
        <w:rPr>
          <w:rFonts w:ascii="Arial" w:hAnsi="Arial" w:cs="Arial"/>
        </w:rPr>
        <w:t>bez</w:t>
      </w:r>
      <w:r w:rsidRPr="00347A66">
        <w:rPr>
          <w:rFonts w:ascii="Arial" w:hAnsi="Arial" w:cs="Arial"/>
        </w:rPr>
        <w:t xml:space="preserve"> djece, nije služio vojsku, nema čin, po vlastitom kazivanju </w:t>
      </w:r>
      <w:r w:rsidR="00864DF2">
        <w:rPr>
          <w:rFonts w:ascii="Arial" w:hAnsi="Arial" w:cs="Arial"/>
        </w:rPr>
        <w:t>neosuđivan</w:t>
      </w:r>
      <w:r w:rsidRPr="00347A66">
        <w:rPr>
          <w:rFonts w:ascii="Arial" w:hAnsi="Arial" w:cs="Arial"/>
        </w:rPr>
        <w:t xml:space="preserve">, </w:t>
      </w:r>
    </w:p>
    <w:p w14:paraId="4AC86ED7" w14:textId="77777777" w:rsidR="00560857" w:rsidRPr="00347A66" w:rsidRDefault="00560857" w:rsidP="00AD4958">
      <w:pPr>
        <w:spacing w:line="360" w:lineRule="auto"/>
        <w:ind w:left="-144" w:right="-288"/>
        <w:jc w:val="both"/>
        <w:rPr>
          <w:rFonts w:ascii="Arial" w:hAnsi="Arial" w:cs="Arial"/>
          <w:bCs/>
          <w:highlight w:val="yellow"/>
        </w:rPr>
      </w:pPr>
    </w:p>
    <w:p w14:paraId="0651185C" w14:textId="292D24FF" w:rsidR="00560857" w:rsidRPr="00347A66" w:rsidRDefault="00560857" w:rsidP="00AD4958">
      <w:pPr>
        <w:spacing w:line="360" w:lineRule="auto"/>
        <w:ind w:left="-144" w:right="-288"/>
        <w:jc w:val="center"/>
        <w:rPr>
          <w:rFonts w:ascii="Arial" w:hAnsi="Arial" w:cs="Arial"/>
          <w:b/>
          <w:bCs/>
          <w:iCs/>
        </w:rPr>
      </w:pPr>
      <w:r w:rsidRPr="00347A66">
        <w:rPr>
          <w:rFonts w:ascii="Arial" w:hAnsi="Arial" w:cs="Arial"/>
          <w:b/>
          <w:bCs/>
          <w:iCs/>
        </w:rPr>
        <w:t xml:space="preserve">PRODUŽAVA </w:t>
      </w:r>
      <w:r w:rsidR="00864DF2">
        <w:rPr>
          <w:rFonts w:ascii="Arial" w:hAnsi="Arial" w:cs="Arial"/>
          <w:b/>
          <w:bCs/>
          <w:iCs/>
        </w:rPr>
        <w:t>PRITVOR</w:t>
      </w:r>
    </w:p>
    <w:p w14:paraId="70202443" w14:textId="77777777" w:rsidR="00560857" w:rsidRPr="00347A66" w:rsidRDefault="00560857" w:rsidP="00AD4958">
      <w:pPr>
        <w:spacing w:line="360" w:lineRule="auto"/>
        <w:ind w:left="-144" w:right="-288"/>
        <w:jc w:val="both"/>
        <w:rPr>
          <w:rFonts w:ascii="Arial" w:hAnsi="Arial" w:cs="Arial"/>
          <w:b/>
          <w:bCs/>
          <w:iCs/>
        </w:rPr>
      </w:pPr>
    </w:p>
    <w:p w14:paraId="45A1EA5E" w14:textId="59087F5F" w:rsidR="00560857" w:rsidRDefault="00505A63" w:rsidP="00AD4958">
      <w:pPr>
        <w:widowControl w:val="0"/>
        <w:autoSpaceDE w:val="0"/>
        <w:autoSpaceDN w:val="0"/>
        <w:adjustRightInd w:val="0"/>
        <w:spacing w:line="360" w:lineRule="auto"/>
        <w:ind w:left="-144" w:right="-288"/>
        <w:jc w:val="both"/>
        <w:rPr>
          <w:rFonts w:ascii="Arial" w:hAnsi="Arial" w:cs="Arial"/>
          <w:b/>
          <w:bCs/>
          <w:iCs/>
        </w:rPr>
      </w:pPr>
      <w:r>
        <w:rPr>
          <w:rFonts w:ascii="Arial" w:hAnsi="Arial" w:cs="Arial"/>
        </w:rPr>
        <w:t>O</w:t>
      </w:r>
      <w:r w:rsidR="00560857" w:rsidRPr="00347A66">
        <w:rPr>
          <w:rFonts w:ascii="Arial" w:hAnsi="Arial" w:cs="Arial"/>
        </w:rPr>
        <w:t xml:space="preserve">dređen </w:t>
      </w:r>
      <w:r w:rsidR="00864DF2">
        <w:rPr>
          <w:rFonts w:ascii="Arial" w:hAnsi="Arial" w:cs="Arial"/>
        </w:rPr>
        <w:t>R</w:t>
      </w:r>
      <w:r w:rsidR="00560857" w:rsidRPr="00347A66">
        <w:rPr>
          <w:rFonts w:ascii="Arial" w:hAnsi="Arial" w:cs="Arial"/>
        </w:rPr>
        <w:t>ješenjem Suda BiH</w:t>
      </w:r>
      <w:r w:rsidR="00864DF2">
        <w:rPr>
          <w:rFonts w:ascii="Arial" w:hAnsi="Arial" w:cs="Arial"/>
        </w:rPr>
        <w:t>,</w:t>
      </w:r>
      <w:r w:rsidR="00560857" w:rsidRPr="00347A66">
        <w:rPr>
          <w:rFonts w:ascii="Arial" w:hAnsi="Arial" w:cs="Arial"/>
        </w:rPr>
        <w:t xml:space="preserve"> broj S1 2 K 041177 22 Krn</w:t>
      </w:r>
      <w:r w:rsidR="00560857" w:rsidRPr="00347A66">
        <w:rPr>
          <w:rFonts w:ascii="Arial" w:hAnsi="Arial" w:cs="Arial"/>
          <w:smallCaps/>
        </w:rPr>
        <w:t xml:space="preserve"> 41  </w:t>
      </w:r>
      <w:r w:rsidR="00560857" w:rsidRPr="00347A66">
        <w:rPr>
          <w:rFonts w:ascii="Arial" w:hAnsi="Arial" w:cs="Arial"/>
        </w:rPr>
        <w:t>od 12.07.2024. godine</w:t>
      </w:r>
      <w:r w:rsidR="00864DF2">
        <w:rPr>
          <w:rFonts w:ascii="Arial" w:hAnsi="Arial" w:cs="Arial"/>
        </w:rPr>
        <w:t>,</w:t>
      </w:r>
      <w:r w:rsidR="00560857" w:rsidRPr="00347A66">
        <w:rPr>
          <w:rFonts w:ascii="Arial" w:hAnsi="Arial" w:cs="Arial"/>
          <w:b/>
        </w:rPr>
        <w:t xml:space="preserve"> </w:t>
      </w:r>
      <w:r w:rsidR="00560857" w:rsidRPr="00347A66">
        <w:rPr>
          <w:rFonts w:ascii="Arial" w:eastAsia="Arial Unicode MS" w:hAnsi="Arial" w:cs="Arial"/>
          <w:bCs/>
          <w:iCs/>
        </w:rPr>
        <w:t xml:space="preserve">produžen </w:t>
      </w:r>
      <w:r w:rsidR="00864DF2">
        <w:rPr>
          <w:rFonts w:ascii="Arial" w:eastAsia="Arial Unicode MS" w:hAnsi="Arial" w:cs="Arial"/>
          <w:bCs/>
          <w:iCs/>
        </w:rPr>
        <w:t>R</w:t>
      </w:r>
      <w:r w:rsidR="00560857" w:rsidRPr="00347A66">
        <w:rPr>
          <w:rFonts w:ascii="Arial" w:eastAsia="Arial Unicode MS" w:hAnsi="Arial" w:cs="Arial"/>
          <w:bCs/>
          <w:iCs/>
        </w:rPr>
        <w:t>ješenjem Suda</w:t>
      </w:r>
      <w:r w:rsidR="00AC64B3">
        <w:rPr>
          <w:rFonts w:ascii="Arial" w:eastAsia="Arial Unicode MS" w:hAnsi="Arial" w:cs="Arial"/>
          <w:bCs/>
          <w:iCs/>
        </w:rPr>
        <w:t>,</w:t>
      </w:r>
      <w:r w:rsidR="00560857" w:rsidRPr="00347A66">
        <w:rPr>
          <w:rFonts w:ascii="Arial" w:eastAsia="Arial Unicode MS" w:hAnsi="Arial" w:cs="Arial"/>
          <w:bCs/>
          <w:iCs/>
        </w:rPr>
        <w:t xml:space="preserve"> broj </w:t>
      </w:r>
      <w:r w:rsidR="00560857" w:rsidRPr="00347A66">
        <w:rPr>
          <w:rFonts w:ascii="Arial" w:hAnsi="Arial" w:cs="Arial"/>
          <w:bCs/>
          <w:lang w:eastAsia="bs-Latn-BA"/>
        </w:rPr>
        <w:t>S1 2 K 041177 24 Kv 65 od 08.08.2024. godine</w:t>
      </w:r>
      <w:r w:rsidR="00864DF2">
        <w:rPr>
          <w:rFonts w:ascii="Arial" w:hAnsi="Arial" w:cs="Arial"/>
          <w:bCs/>
          <w:lang w:eastAsia="bs-Latn-BA"/>
        </w:rPr>
        <w:t xml:space="preserve"> i Rješenjem Suda, broj </w:t>
      </w:r>
      <w:r w:rsidR="00864DF2" w:rsidRPr="00864DF2">
        <w:rPr>
          <w:rFonts w:ascii="Arial" w:hAnsi="Arial" w:cs="Arial"/>
          <w:bCs/>
          <w:lang w:eastAsia="bs-Latn-BA"/>
        </w:rPr>
        <w:lastRenderedPageBreak/>
        <w:t>S1 2 K 041177 24 Kv 67</w:t>
      </w:r>
      <w:r w:rsidR="00864DF2">
        <w:rPr>
          <w:rFonts w:ascii="Arial" w:hAnsi="Arial" w:cs="Arial"/>
          <w:bCs/>
          <w:lang w:eastAsia="bs-Latn-BA"/>
        </w:rPr>
        <w:t xml:space="preserve"> od 11.10.2024. godine</w:t>
      </w:r>
      <w:r w:rsidR="00560857" w:rsidRPr="00347A66">
        <w:rPr>
          <w:rFonts w:ascii="Arial" w:hAnsi="Arial" w:cs="Arial"/>
          <w:lang w:eastAsia="bs-Latn-BA"/>
        </w:rPr>
        <w:t>,</w:t>
      </w:r>
      <w:r w:rsidR="00560857" w:rsidRPr="00347A66">
        <w:rPr>
          <w:rFonts w:ascii="Arial" w:hAnsi="Arial" w:cs="Arial"/>
          <w:b/>
          <w:bCs/>
          <w:lang w:eastAsia="bs-Latn-BA"/>
        </w:rPr>
        <w:t xml:space="preserve"> </w:t>
      </w:r>
      <w:r w:rsidR="00AC64B3" w:rsidRPr="00AC64B3">
        <w:rPr>
          <w:rFonts w:ascii="Arial" w:hAnsi="Arial" w:cs="Arial"/>
          <w:lang w:eastAsia="bs-Latn-BA"/>
        </w:rPr>
        <w:t>iz</w:t>
      </w:r>
      <w:r w:rsidR="00AC64B3">
        <w:rPr>
          <w:rFonts w:ascii="Arial" w:hAnsi="Arial" w:cs="Arial"/>
          <w:b/>
          <w:bCs/>
          <w:lang w:eastAsia="bs-Latn-BA"/>
        </w:rPr>
        <w:t xml:space="preserve"> </w:t>
      </w:r>
      <w:r w:rsidR="00AC64B3" w:rsidRPr="00D134F8">
        <w:rPr>
          <w:rFonts w:ascii="Arial" w:eastAsia="Arial Unicode MS" w:hAnsi="Arial" w:cs="Arial"/>
          <w:bCs/>
          <w:iCs/>
        </w:rPr>
        <w:t xml:space="preserve">zakonskih razloga propisanih </w:t>
      </w:r>
      <w:r w:rsidR="00AC64B3" w:rsidRPr="00AC64B3">
        <w:rPr>
          <w:rFonts w:ascii="Arial" w:eastAsia="Arial Unicode MS" w:hAnsi="Arial" w:cs="Arial"/>
          <w:b/>
          <w:iCs/>
        </w:rPr>
        <w:t>članom 132. stav 1. tačka a) ZKP BiH</w:t>
      </w:r>
      <w:r w:rsidR="00AC64B3">
        <w:rPr>
          <w:rFonts w:ascii="Arial" w:eastAsia="Arial Unicode MS" w:hAnsi="Arial" w:cs="Arial"/>
          <w:bCs/>
          <w:iCs/>
        </w:rPr>
        <w:t>,</w:t>
      </w:r>
      <w:r w:rsidR="00AC64B3">
        <w:rPr>
          <w:rFonts w:ascii="Arial" w:hAnsi="Arial" w:cs="Arial"/>
          <w:b/>
          <w:bCs/>
          <w:lang w:eastAsia="bs-Latn-BA"/>
        </w:rPr>
        <w:t xml:space="preserve"> </w:t>
      </w:r>
      <w:r w:rsidR="00AC64B3">
        <w:rPr>
          <w:rFonts w:ascii="Arial" w:hAnsi="Arial" w:cs="Arial"/>
        </w:rPr>
        <w:t>koji</w:t>
      </w:r>
      <w:r w:rsidR="00560857" w:rsidRPr="00347A66">
        <w:rPr>
          <w:rFonts w:ascii="Arial" w:hAnsi="Arial" w:cs="Arial"/>
        </w:rPr>
        <w:t xml:space="preserve"> po ovom rješenju može trajati </w:t>
      </w:r>
      <w:r w:rsidR="00864DF2" w:rsidRPr="00AC64B3">
        <w:rPr>
          <w:rFonts w:ascii="Arial" w:hAnsi="Arial" w:cs="Arial"/>
          <w:b/>
          <w:bCs/>
        </w:rPr>
        <w:t>2 (dvije) godine</w:t>
      </w:r>
      <w:r w:rsidR="00560857" w:rsidRPr="00AC64B3">
        <w:rPr>
          <w:rFonts w:ascii="Arial" w:hAnsi="Arial" w:cs="Arial"/>
          <w:b/>
          <w:bCs/>
        </w:rPr>
        <w:t>, odnosno</w:t>
      </w:r>
      <w:r w:rsidR="00864DF2" w:rsidRPr="00AC64B3">
        <w:rPr>
          <w:rFonts w:ascii="Arial" w:hAnsi="Arial" w:cs="Arial"/>
          <w:b/>
          <w:bCs/>
        </w:rPr>
        <w:t xml:space="preserve"> </w:t>
      </w:r>
      <w:r w:rsidR="00560857" w:rsidRPr="00AC64B3">
        <w:rPr>
          <w:rFonts w:ascii="Arial" w:hAnsi="Arial" w:cs="Arial"/>
          <w:b/>
          <w:bCs/>
        </w:rPr>
        <w:t xml:space="preserve">do </w:t>
      </w:r>
      <w:r w:rsidR="00864DF2" w:rsidRPr="00AC64B3">
        <w:rPr>
          <w:rFonts w:ascii="Arial" w:hAnsi="Arial" w:cs="Arial"/>
          <w:b/>
          <w:bCs/>
        </w:rPr>
        <w:t>10.01.2027</w:t>
      </w:r>
      <w:r w:rsidR="00560857" w:rsidRPr="00AC64B3">
        <w:rPr>
          <w:rFonts w:ascii="Arial" w:hAnsi="Arial" w:cs="Arial"/>
          <w:b/>
          <w:bCs/>
        </w:rPr>
        <w:t>. godine</w:t>
      </w:r>
      <w:r w:rsidR="00560857" w:rsidRPr="00347A66">
        <w:rPr>
          <w:rFonts w:ascii="Arial" w:hAnsi="Arial" w:cs="Arial"/>
        </w:rPr>
        <w:t xml:space="preserve"> ili do nove odluke Suda</w:t>
      </w:r>
      <w:r w:rsidR="00560857" w:rsidRPr="00AC64B3">
        <w:rPr>
          <w:rFonts w:ascii="Arial" w:hAnsi="Arial" w:cs="Arial"/>
          <w:iCs/>
        </w:rPr>
        <w:t>.</w:t>
      </w:r>
    </w:p>
    <w:p w14:paraId="1A15D007" w14:textId="77777777" w:rsidR="00AC64B3" w:rsidRPr="00347A66" w:rsidRDefault="00AC64B3" w:rsidP="00AD4958">
      <w:pPr>
        <w:widowControl w:val="0"/>
        <w:autoSpaceDE w:val="0"/>
        <w:autoSpaceDN w:val="0"/>
        <w:adjustRightInd w:val="0"/>
        <w:spacing w:line="360" w:lineRule="auto"/>
        <w:ind w:left="-144" w:right="-288"/>
        <w:jc w:val="both"/>
        <w:rPr>
          <w:rFonts w:ascii="Arial" w:hAnsi="Arial" w:cs="Arial"/>
          <w:b/>
          <w:bCs/>
          <w:lang w:eastAsia="bs-Latn-BA"/>
        </w:rPr>
      </w:pPr>
    </w:p>
    <w:p w14:paraId="25D21243" w14:textId="51DA5C3B" w:rsidR="00560857" w:rsidRPr="00AC64B3" w:rsidRDefault="00AC64B3" w:rsidP="00AD4958">
      <w:pPr>
        <w:spacing w:line="360" w:lineRule="auto"/>
        <w:ind w:left="-144" w:right="-288"/>
        <w:jc w:val="both"/>
        <w:rPr>
          <w:rFonts w:ascii="Arial" w:hAnsi="Arial" w:cs="Arial"/>
          <w:iCs/>
        </w:rPr>
      </w:pPr>
      <w:r w:rsidRPr="00AC64B3">
        <w:rPr>
          <w:rFonts w:ascii="Arial" w:hAnsi="Arial" w:cs="Arial"/>
          <w:iCs/>
        </w:rPr>
        <w:t>Kontrola opravdanosti pritvora vršit će se po isteku svaka 2 (dva) mjeseca od dana donošenja posljednjeg rješenja o pritvoru.</w:t>
      </w:r>
    </w:p>
    <w:p w14:paraId="41112C69" w14:textId="77777777" w:rsidR="00AC64B3" w:rsidRPr="00347A66" w:rsidRDefault="00AC64B3" w:rsidP="00AD4958">
      <w:pPr>
        <w:spacing w:line="360" w:lineRule="auto"/>
        <w:ind w:left="-144" w:right="-288"/>
        <w:jc w:val="both"/>
        <w:rPr>
          <w:rFonts w:ascii="Arial" w:hAnsi="Arial" w:cs="Arial"/>
          <w:b/>
          <w:bCs/>
          <w:iCs/>
        </w:rPr>
      </w:pPr>
    </w:p>
    <w:p w14:paraId="071351B6" w14:textId="3EF3BA3C" w:rsidR="00560857" w:rsidRPr="00347A66" w:rsidRDefault="00560857" w:rsidP="00AD4958">
      <w:pPr>
        <w:spacing w:line="360" w:lineRule="auto"/>
        <w:ind w:left="-144" w:right="-288"/>
        <w:jc w:val="both"/>
        <w:rPr>
          <w:rFonts w:ascii="Arial" w:hAnsi="Arial" w:cs="Arial"/>
          <w:bCs/>
          <w:iCs/>
          <w:noProof/>
        </w:rPr>
      </w:pPr>
      <w:r w:rsidRPr="00347A66">
        <w:rPr>
          <w:rFonts w:ascii="Arial" w:hAnsi="Arial" w:cs="Arial"/>
          <w:bCs/>
          <w:iCs/>
          <w:noProof/>
        </w:rPr>
        <w:t xml:space="preserve">Žalba protiv ovog rješenja ne zadržava izvršenje istog. </w:t>
      </w:r>
    </w:p>
    <w:p w14:paraId="0B325D88" w14:textId="77777777" w:rsidR="00560857" w:rsidRPr="00347A66" w:rsidRDefault="00560857" w:rsidP="00AD4958">
      <w:pPr>
        <w:spacing w:line="360" w:lineRule="auto"/>
        <w:ind w:left="-144" w:right="-288"/>
        <w:jc w:val="both"/>
        <w:rPr>
          <w:rFonts w:ascii="Arial" w:hAnsi="Arial" w:cs="Arial"/>
          <w:bCs/>
          <w:iCs/>
          <w:noProof/>
          <w:color w:val="FF0000"/>
        </w:rPr>
      </w:pPr>
    </w:p>
    <w:p w14:paraId="263AD68A" w14:textId="174EFD98" w:rsidR="00560857" w:rsidRPr="00347A66" w:rsidRDefault="00560857" w:rsidP="00AD4958">
      <w:pPr>
        <w:spacing w:line="360" w:lineRule="auto"/>
        <w:ind w:left="-144" w:right="-288"/>
        <w:jc w:val="center"/>
        <w:rPr>
          <w:rFonts w:ascii="Arial" w:hAnsi="Arial" w:cs="Arial"/>
          <w:b/>
          <w:iCs/>
        </w:rPr>
      </w:pPr>
      <w:r w:rsidRPr="00347A66">
        <w:rPr>
          <w:rFonts w:ascii="Arial" w:hAnsi="Arial" w:cs="Arial"/>
          <w:b/>
          <w:iCs/>
        </w:rPr>
        <w:t>O b r a z l o ž e n</w:t>
      </w:r>
      <w:r w:rsidR="00864DF2">
        <w:rPr>
          <w:rFonts w:ascii="Arial" w:hAnsi="Arial" w:cs="Arial"/>
          <w:b/>
          <w:iCs/>
        </w:rPr>
        <w:t xml:space="preserve"> </w:t>
      </w:r>
      <w:r w:rsidRPr="00347A66">
        <w:rPr>
          <w:rFonts w:ascii="Arial" w:hAnsi="Arial" w:cs="Arial"/>
          <w:b/>
          <w:iCs/>
        </w:rPr>
        <w:t>j e</w:t>
      </w:r>
    </w:p>
    <w:p w14:paraId="0E86140A" w14:textId="77777777" w:rsidR="00560857" w:rsidRPr="00347A66" w:rsidRDefault="00560857" w:rsidP="00AD4958">
      <w:pPr>
        <w:spacing w:line="360" w:lineRule="auto"/>
        <w:ind w:left="-144" w:right="-288"/>
        <w:jc w:val="both"/>
        <w:rPr>
          <w:rFonts w:ascii="Arial" w:hAnsi="Arial" w:cs="Arial"/>
          <w:bCs/>
          <w:iCs/>
        </w:rPr>
      </w:pPr>
    </w:p>
    <w:p w14:paraId="0772D052" w14:textId="76A2615E" w:rsidR="00AC64B3" w:rsidRDefault="00AC64B3" w:rsidP="00AD4958">
      <w:pPr>
        <w:spacing w:line="360" w:lineRule="auto"/>
        <w:ind w:left="-144" w:right="-288"/>
        <w:jc w:val="both"/>
        <w:rPr>
          <w:rFonts w:ascii="Arial" w:hAnsi="Arial" w:cs="Arial"/>
        </w:rPr>
      </w:pPr>
      <w:r>
        <w:rPr>
          <w:rFonts w:ascii="Arial" w:hAnsi="Arial" w:cs="Arial"/>
          <w:bCs/>
        </w:rPr>
        <w:t>Pred Sudom BiH u toku je krivični postupak protiv optuženog G</w:t>
      </w:r>
      <w:r w:rsidR="0018702D">
        <w:rPr>
          <w:rFonts w:ascii="Arial" w:hAnsi="Arial" w:cs="Arial"/>
          <w:bCs/>
        </w:rPr>
        <w:t>.</w:t>
      </w:r>
      <w:r>
        <w:rPr>
          <w:rFonts w:ascii="Arial" w:hAnsi="Arial" w:cs="Arial"/>
          <w:bCs/>
        </w:rPr>
        <w:t>O</w:t>
      </w:r>
      <w:r w:rsidR="0018702D">
        <w:rPr>
          <w:rFonts w:ascii="Arial" w:hAnsi="Arial" w:cs="Arial"/>
          <w:bCs/>
        </w:rPr>
        <w:t>.</w:t>
      </w:r>
      <w:r>
        <w:rPr>
          <w:rFonts w:ascii="Arial" w:hAnsi="Arial" w:cs="Arial"/>
          <w:bCs/>
        </w:rPr>
        <w:t xml:space="preserve"> zbog postojanja osnovane sumnje da je počinio krivično djelo </w:t>
      </w:r>
      <w:r w:rsidRPr="00347A66">
        <w:rPr>
          <w:rFonts w:ascii="Arial" w:hAnsi="Arial" w:cs="Arial"/>
        </w:rPr>
        <w:t>Organizovani kriminal iz člana 250. stav 2. Krivičnog zakona Bosne i Hercegovine (KZ</w:t>
      </w:r>
      <w:r>
        <w:rPr>
          <w:rFonts w:ascii="Arial" w:hAnsi="Arial" w:cs="Arial"/>
        </w:rPr>
        <w:t xml:space="preserve"> </w:t>
      </w:r>
      <w:r w:rsidRPr="00347A66">
        <w:rPr>
          <w:rFonts w:ascii="Arial" w:hAnsi="Arial" w:cs="Arial"/>
        </w:rPr>
        <w:t xml:space="preserve">BiH), u vezi sa krivičnim djelom Neovlašteni promet opojnim drogama iz člana 195. stav 1. </w:t>
      </w:r>
      <w:r>
        <w:rPr>
          <w:rFonts w:ascii="Arial" w:hAnsi="Arial" w:cs="Arial"/>
        </w:rPr>
        <w:t>istog Zakona.</w:t>
      </w:r>
    </w:p>
    <w:p w14:paraId="30A590F1" w14:textId="77777777" w:rsidR="00AC64B3" w:rsidRDefault="00AC64B3" w:rsidP="00AD4958">
      <w:pPr>
        <w:spacing w:line="360" w:lineRule="auto"/>
        <w:ind w:left="-144" w:right="-288"/>
        <w:jc w:val="both"/>
        <w:rPr>
          <w:rFonts w:ascii="Arial" w:hAnsi="Arial" w:cs="Arial"/>
          <w:bCs/>
        </w:rPr>
      </w:pPr>
    </w:p>
    <w:p w14:paraId="5956F00B" w14:textId="6A1E9B23" w:rsidR="00560857" w:rsidRPr="00AC64B3" w:rsidRDefault="00B725C8" w:rsidP="00AC64B3">
      <w:pPr>
        <w:spacing w:line="360" w:lineRule="auto"/>
        <w:ind w:left="-144" w:right="-288"/>
        <w:jc w:val="both"/>
        <w:rPr>
          <w:rFonts w:ascii="Arial" w:hAnsi="Arial" w:cs="Arial"/>
        </w:rPr>
      </w:pPr>
      <w:r w:rsidRPr="00347A66">
        <w:rPr>
          <w:rFonts w:ascii="Arial" w:hAnsi="Arial" w:cs="Arial"/>
          <w:bCs/>
        </w:rPr>
        <w:t>Rješenjem Suda</w:t>
      </w:r>
      <w:r w:rsidR="00AC64B3">
        <w:rPr>
          <w:rFonts w:ascii="Arial" w:hAnsi="Arial" w:cs="Arial"/>
          <w:bCs/>
        </w:rPr>
        <w:t>,</w:t>
      </w:r>
      <w:r w:rsidRPr="00347A66">
        <w:rPr>
          <w:rFonts w:ascii="Arial" w:hAnsi="Arial" w:cs="Arial"/>
          <w:bCs/>
        </w:rPr>
        <w:t xml:space="preserve"> broj </w:t>
      </w:r>
      <w:r w:rsidRPr="00347A66">
        <w:rPr>
          <w:rFonts w:ascii="Arial" w:hAnsi="Arial" w:cs="Arial"/>
        </w:rPr>
        <w:t xml:space="preserve">S1 2 K 041177 22 Krn 41 od 12.07.2024. godine prema </w:t>
      </w:r>
      <w:r w:rsidR="00AC64B3">
        <w:rPr>
          <w:rFonts w:ascii="Arial" w:hAnsi="Arial" w:cs="Arial"/>
        </w:rPr>
        <w:t xml:space="preserve">tada </w:t>
      </w:r>
      <w:r w:rsidRPr="00347A66">
        <w:rPr>
          <w:rFonts w:ascii="Arial" w:hAnsi="Arial" w:cs="Arial"/>
        </w:rPr>
        <w:t>osumnjičenom G</w:t>
      </w:r>
      <w:r w:rsidR="0018702D">
        <w:rPr>
          <w:rFonts w:ascii="Arial" w:hAnsi="Arial" w:cs="Arial"/>
        </w:rPr>
        <w:t>.</w:t>
      </w:r>
      <w:r w:rsidRPr="00347A66">
        <w:rPr>
          <w:rFonts w:ascii="Arial" w:hAnsi="Arial" w:cs="Arial"/>
        </w:rPr>
        <w:t>O</w:t>
      </w:r>
      <w:r w:rsidR="0018702D">
        <w:rPr>
          <w:rFonts w:ascii="Arial" w:hAnsi="Arial" w:cs="Arial"/>
        </w:rPr>
        <w:t>.</w:t>
      </w:r>
      <w:r w:rsidRPr="00347A66">
        <w:rPr>
          <w:rFonts w:ascii="Arial" w:hAnsi="Arial" w:cs="Arial"/>
          <w:bCs/>
        </w:rPr>
        <w:t xml:space="preserve"> određena </w:t>
      </w:r>
      <w:r w:rsidR="00AC64B3">
        <w:rPr>
          <w:rFonts w:ascii="Arial" w:hAnsi="Arial" w:cs="Arial"/>
          <w:bCs/>
        </w:rPr>
        <w:t xml:space="preserve">je </w:t>
      </w:r>
      <w:r w:rsidRPr="00347A66">
        <w:rPr>
          <w:rFonts w:ascii="Arial" w:hAnsi="Arial" w:cs="Arial"/>
          <w:bCs/>
        </w:rPr>
        <w:t>mjera pritvora iz razloga propisanih odredbom člana 132. stav 1. tačka a) ZKP</w:t>
      </w:r>
      <w:r w:rsidR="00AC64B3">
        <w:rPr>
          <w:rFonts w:ascii="Arial" w:hAnsi="Arial" w:cs="Arial"/>
          <w:bCs/>
        </w:rPr>
        <w:t xml:space="preserve"> </w:t>
      </w:r>
      <w:r w:rsidRPr="00347A66">
        <w:rPr>
          <w:rFonts w:ascii="Arial" w:hAnsi="Arial" w:cs="Arial"/>
          <w:bCs/>
        </w:rPr>
        <w:t xml:space="preserve">BiH, a koji pritvor </w:t>
      </w:r>
      <w:r w:rsidR="00AC64B3">
        <w:rPr>
          <w:rFonts w:ascii="Arial" w:hAnsi="Arial" w:cs="Arial"/>
          <w:bCs/>
        </w:rPr>
        <w:t xml:space="preserve">je mogao </w:t>
      </w:r>
      <w:r w:rsidRPr="00347A66">
        <w:rPr>
          <w:rFonts w:ascii="Arial" w:hAnsi="Arial" w:cs="Arial"/>
          <w:bCs/>
        </w:rPr>
        <w:t xml:space="preserve">trajati najduže mjesec dana od dana lišenja slobode, odnosno do 11.08.2024. godine. Navedena mjere pritvora </w:t>
      </w:r>
      <w:r w:rsidR="00AC64B3">
        <w:rPr>
          <w:rFonts w:ascii="Arial" w:hAnsi="Arial" w:cs="Arial"/>
          <w:bCs/>
        </w:rPr>
        <w:t>produžena je</w:t>
      </w:r>
      <w:r w:rsidRPr="00347A66">
        <w:rPr>
          <w:rFonts w:ascii="Arial" w:hAnsi="Arial" w:cs="Arial"/>
          <w:bCs/>
        </w:rPr>
        <w:t xml:space="preserve"> </w:t>
      </w:r>
      <w:r w:rsidR="00AC64B3">
        <w:rPr>
          <w:rFonts w:ascii="Arial" w:hAnsi="Arial" w:cs="Arial"/>
          <w:bCs/>
        </w:rPr>
        <w:t>Rj</w:t>
      </w:r>
      <w:r w:rsidRPr="00347A66">
        <w:rPr>
          <w:rFonts w:ascii="Arial" w:hAnsi="Arial" w:cs="Arial"/>
          <w:bCs/>
        </w:rPr>
        <w:t>ešenjem Suda</w:t>
      </w:r>
      <w:r w:rsidR="00AC64B3">
        <w:rPr>
          <w:rFonts w:ascii="Arial" w:hAnsi="Arial" w:cs="Arial"/>
          <w:bCs/>
        </w:rPr>
        <w:t>,</w:t>
      </w:r>
      <w:r w:rsidRPr="00347A66">
        <w:rPr>
          <w:rFonts w:ascii="Arial" w:hAnsi="Arial" w:cs="Arial"/>
          <w:bCs/>
        </w:rPr>
        <w:t xml:space="preserve"> </w:t>
      </w:r>
      <w:r w:rsidR="00AC64B3" w:rsidRPr="00347A66">
        <w:rPr>
          <w:rFonts w:ascii="Arial" w:eastAsia="Arial Unicode MS" w:hAnsi="Arial" w:cs="Arial"/>
          <w:bCs/>
          <w:iCs/>
        </w:rPr>
        <w:t xml:space="preserve">broj </w:t>
      </w:r>
      <w:r w:rsidR="00AC64B3" w:rsidRPr="00347A66">
        <w:rPr>
          <w:rFonts w:ascii="Arial" w:hAnsi="Arial" w:cs="Arial"/>
          <w:bCs/>
          <w:lang w:eastAsia="bs-Latn-BA"/>
        </w:rPr>
        <w:t>S1 2 K 041177 24 Kv 65 od 08.08.2024. godine</w:t>
      </w:r>
      <w:r w:rsidR="00AC64B3">
        <w:rPr>
          <w:rFonts w:ascii="Arial" w:hAnsi="Arial" w:cs="Arial"/>
          <w:bCs/>
          <w:lang w:eastAsia="bs-Latn-BA"/>
        </w:rPr>
        <w:t xml:space="preserve"> i Rješenjem Suda, broj </w:t>
      </w:r>
      <w:r w:rsidR="00AC64B3" w:rsidRPr="00864DF2">
        <w:rPr>
          <w:rFonts w:ascii="Arial" w:hAnsi="Arial" w:cs="Arial"/>
          <w:bCs/>
          <w:lang w:eastAsia="bs-Latn-BA"/>
        </w:rPr>
        <w:t>S1 2 K 041177 24 Kv 67</w:t>
      </w:r>
      <w:r w:rsidR="00AC64B3">
        <w:rPr>
          <w:rFonts w:ascii="Arial" w:hAnsi="Arial" w:cs="Arial"/>
          <w:bCs/>
          <w:lang w:eastAsia="bs-Latn-BA"/>
        </w:rPr>
        <w:t xml:space="preserve"> od 11.10.2024. godine</w:t>
      </w:r>
      <w:r w:rsidRPr="00347A66">
        <w:rPr>
          <w:rFonts w:ascii="Arial" w:hAnsi="Arial" w:cs="Arial"/>
        </w:rPr>
        <w:t xml:space="preserve">, </w:t>
      </w:r>
      <w:r w:rsidR="00AC64B3">
        <w:rPr>
          <w:rFonts w:ascii="Arial" w:hAnsi="Arial" w:cs="Arial"/>
        </w:rPr>
        <w:t>koji pritvor po posljednjem rješenju može trajati najkasnije do 11.01.2025</w:t>
      </w:r>
      <w:r w:rsidRPr="00347A66">
        <w:rPr>
          <w:rFonts w:ascii="Arial" w:hAnsi="Arial" w:cs="Arial"/>
        </w:rPr>
        <w:t>. godine</w:t>
      </w:r>
      <w:r w:rsidR="00AC64B3">
        <w:rPr>
          <w:rFonts w:ascii="Arial" w:hAnsi="Arial" w:cs="Arial"/>
        </w:rPr>
        <w:t xml:space="preserve"> </w:t>
      </w:r>
      <w:r w:rsidRPr="00347A66">
        <w:rPr>
          <w:rFonts w:ascii="Arial" w:hAnsi="Arial" w:cs="Arial"/>
        </w:rPr>
        <w:t>i to</w:t>
      </w:r>
      <w:r w:rsidR="00AC64B3">
        <w:rPr>
          <w:rFonts w:ascii="Arial" w:hAnsi="Arial" w:cs="Arial"/>
        </w:rPr>
        <w:t xml:space="preserve"> iz</w:t>
      </w:r>
      <w:r w:rsidR="00560857" w:rsidRPr="00347A66">
        <w:rPr>
          <w:rFonts w:ascii="Arial" w:hAnsi="Arial" w:cs="Arial"/>
        </w:rPr>
        <w:t xml:space="preserve"> </w:t>
      </w:r>
      <w:r w:rsidR="00AC64B3" w:rsidRPr="00D134F8">
        <w:rPr>
          <w:rFonts w:ascii="Arial" w:eastAsia="Arial Unicode MS" w:hAnsi="Arial" w:cs="Arial"/>
          <w:bCs/>
          <w:iCs/>
        </w:rPr>
        <w:t xml:space="preserve">zakonskih razloga propisanih </w:t>
      </w:r>
      <w:r w:rsidR="00AC64B3" w:rsidRPr="00AC64B3">
        <w:rPr>
          <w:rFonts w:ascii="Arial" w:eastAsia="Arial Unicode MS" w:hAnsi="Arial" w:cs="Arial"/>
          <w:bCs/>
          <w:iCs/>
        </w:rPr>
        <w:t>članom 132. stav 1. tačka a) ZKP BiH</w:t>
      </w:r>
      <w:r w:rsidR="00560857" w:rsidRPr="00AC64B3">
        <w:rPr>
          <w:rFonts w:ascii="Arial" w:hAnsi="Arial" w:cs="Arial"/>
          <w:bCs/>
        </w:rPr>
        <w:t>.</w:t>
      </w:r>
    </w:p>
    <w:p w14:paraId="7743BA66" w14:textId="77777777" w:rsidR="00560857" w:rsidRPr="00347A66" w:rsidRDefault="00560857" w:rsidP="00AD4958">
      <w:pPr>
        <w:spacing w:line="360" w:lineRule="auto"/>
        <w:ind w:left="-144" w:right="-288"/>
        <w:jc w:val="both"/>
        <w:rPr>
          <w:rFonts w:ascii="Arial" w:hAnsi="Arial" w:cs="Arial"/>
          <w:color w:val="FF0000"/>
        </w:rPr>
      </w:pPr>
    </w:p>
    <w:p w14:paraId="5BC79285" w14:textId="48A871AE" w:rsidR="00AC64B3" w:rsidRPr="00AC64B3" w:rsidRDefault="00AC64B3" w:rsidP="00AC64B3">
      <w:pPr>
        <w:spacing w:line="360" w:lineRule="auto"/>
        <w:ind w:left="-144" w:right="-288"/>
        <w:jc w:val="both"/>
        <w:rPr>
          <w:rFonts w:ascii="Arial" w:hAnsi="Arial" w:cs="Arial"/>
        </w:rPr>
      </w:pPr>
      <w:r w:rsidRPr="00AC64B3">
        <w:rPr>
          <w:rFonts w:ascii="Arial" w:hAnsi="Arial" w:cs="Arial"/>
        </w:rPr>
        <w:t xml:space="preserve">Dana </w:t>
      </w:r>
      <w:r>
        <w:rPr>
          <w:rFonts w:ascii="Arial" w:hAnsi="Arial" w:cs="Arial"/>
        </w:rPr>
        <w:t>03.01.2025.</w:t>
      </w:r>
      <w:r w:rsidRPr="00AC64B3">
        <w:rPr>
          <w:rFonts w:ascii="Arial" w:hAnsi="Arial" w:cs="Arial"/>
        </w:rPr>
        <w:t xml:space="preserve"> godine Sud BiH zaprimio je optužnicu Tužilaštva BiH</w:t>
      </w:r>
      <w:r>
        <w:rPr>
          <w:rFonts w:ascii="Arial" w:hAnsi="Arial" w:cs="Arial"/>
        </w:rPr>
        <w:t>,</w:t>
      </w:r>
      <w:r w:rsidRPr="00AC64B3">
        <w:rPr>
          <w:rFonts w:ascii="Arial" w:hAnsi="Arial" w:cs="Arial"/>
        </w:rPr>
        <w:t xml:space="preserve"> broj </w:t>
      </w:r>
      <w:r w:rsidR="007F4D5D">
        <w:rPr>
          <w:rFonts w:ascii="Arial" w:hAnsi="Arial" w:cs="Arial"/>
        </w:rPr>
        <w:t>T20 0 KTOV 0024773 24 od 03.01.2025. godine</w:t>
      </w:r>
      <w:r w:rsidRPr="00AC64B3">
        <w:rPr>
          <w:rFonts w:ascii="Arial" w:hAnsi="Arial" w:cs="Arial"/>
        </w:rPr>
        <w:t xml:space="preserve">, koja je potvrđena dana </w:t>
      </w:r>
      <w:r w:rsidR="007F4D5D">
        <w:rPr>
          <w:rFonts w:ascii="Arial" w:hAnsi="Arial" w:cs="Arial"/>
        </w:rPr>
        <w:t>07.01.2025</w:t>
      </w:r>
      <w:r w:rsidRPr="00AC64B3">
        <w:rPr>
          <w:rFonts w:ascii="Arial" w:hAnsi="Arial" w:cs="Arial"/>
        </w:rPr>
        <w:t>. godine.</w:t>
      </w:r>
    </w:p>
    <w:p w14:paraId="124CD049" w14:textId="77777777" w:rsidR="00AC64B3" w:rsidRPr="00AC64B3" w:rsidRDefault="00AC64B3" w:rsidP="00AC64B3">
      <w:pPr>
        <w:spacing w:line="360" w:lineRule="auto"/>
        <w:ind w:left="-144" w:right="-288"/>
        <w:jc w:val="both"/>
        <w:rPr>
          <w:rFonts w:ascii="Arial" w:hAnsi="Arial" w:cs="Arial"/>
        </w:rPr>
      </w:pPr>
    </w:p>
    <w:p w14:paraId="5F9A3038" w14:textId="55272EEA" w:rsidR="006B594E" w:rsidRDefault="00AC64B3" w:rsidP="00AC64B3">
      <w:pPr>
        <w:spacing w:line="360" w:lineRule="auto"/>
        <w:ind w:left="-144" w:right="-288"/>
        <w:jc w:val="both"/>
        <w:rPr>
          <w:rFonts w:ascii="Arial" w:hAnsi="Arial" w:cs="Arial"/>
        </w:rPr>
      </w:pPr>
      <w:r w:rsidRPr="00AC64B3">
        <w:rPr>
          <w:rFonts w:ascii="Arial" w:hAnsi="Arial" w:cs="Arial"/>
        </w:rPr>
        <w:t xml:space="preserve">Uz navedenu optužnicu Tužilaštva BiH, Sud je zaprimio i prijedlog za produženje pritvora prema optuženom, u čijem obrazloženju </w:t>
      </w:r>
      <w:r w:rsidR="008F4C09">
        <w:rPr>
          <w:rFonts w:ascii="Arial" w:hAnsi="Arial" w:cs="Arial"/>
        </w:rPr>
        <w:t xml:space="preserve">je navedeno da na strani optuženog postoji konkretna i realna opasnost od bjekstva. Tako se navodi da je optuženi kontinuirano organizovao prenos veće količine opojne droge preko međudržavnih granica, što ukazuje na zaključak o postojanju saznanja optuženog o načinima ilegalnog prelaska državnih granica, izbjegavanjem graničnih i </w:t>
      </w:r>
      <w:r w:rsidR="008F4C09">
        <w:rPr>
          <w:rFonts w:ascii="Arial" w:hAnsi="Arial" w:cs="Arial"/>
        </w:rPr>
        <w:lastRenderedPageBreak/>
        <w:t xml:space="preserve">policijskih kontrola. Osim toga, u obrazloženju se navodi da se samim načinom izvršenja krivičnog djela, optuženi dovodi u vezu sa djelovanjem u više zemalja, na koji način je optuženi stekao nesporne međunarodne kontakte, koje bi mogao iskoristiti za realizaciju bijega, ukoliko se pusti na slobodu. Tužilaštvo je istaklo da navedeno treba cijeniti u vezi sa činjenicom da se optuženi tereti za počinjenje krivičnog djela u sastavu organizovane grupe u okviru koje postoji veći broj lica koja su trenutno nedostupna </w:t>
      </w:r>
      <w:r w:rsidR="009D3399">
        <w:rPr>
          <w:rFonts w:ascii="Arial" w:hAnsi="Arial" w:cs="Arial"/>
        </w:rPr>
        <w:t xml:space="preserve">organima gonjenja, a koja lica su poznata optuženom i koji bi mu mogli </w:t>
      </w:r>
      <w:r w:rsidR="006B594E">
        <w:rPr>
          <w:rFonts w:ascii="Arial" w:hAnsi="Arial" w:cs="Arial"/>
        </w:rPr>
        <w:t>pomoći u skrivanju i bjekstvu, kao i u vezi sa činjenicom da je optuženi bio povezan sa grupama za organizovani kriminal u J</w:t>
      </w:r>
      <w:r w:rsidR="000E687E">
        <w:rPr>
          <w:rFonts w:ascii="Arial" w:hAnsi="Arial" w:cs="Arial"/>
        </w:rPr>
        <w:t xml:space="preserve">užnoj </w:t>
      </w:r>
      <w:r w:rsidR="006B594E">
        <w:rPr>
          <w:rFonts w:ascii="Arial" w:hAnsi="Arial" w:cs="Arial"/>
        </w:rPr>
        <w:t>A</w:t>
      </w:r>
      <w:r w:rsidR="000E687E">
        <w:rPr>
          <w:rFonts w:ascii="Arial" w:hAnsi="Arial" w:cs="Arial"/>
        </w:rPr>
        <w:t>merici.</w:t>
      </w:r>
      <w:r w:rsidR="006B594E">
        <w:rPr>
          <w:rFonts w:ascii="Arial" w:hAnsi="Arial" w:cs="Arial"/>
        </w:rPr>
        <w:t xml:space="preserve"> Tužilaštvo također ističe da je optuženi sada svjestan težine krivičnog djela koje mu se stavlja na teret i visine zaprijećene kazne, što može predstavljati motivirajući faktor za istog da se, ukoliko se nađe na slobodi, sakrije ili pobjegne i na taj način postane nedostupan organima krivičnog gonjenja u BiH, koristeći naprijed navedene međunarodne kontakte i iskustvo stečeno počinjenje predmetnog krivičnog djela. Pored toga, Tužilaštvo smatra da treba imati u vidu d</w:t>
      </w:r>
      <w:r w:rsidR="008F4C09" w:rsidRPr="00347A66">
        <w:rPr>
          <w:rFonts w:ascii="Arial" w:hAnsi="Arial" w:cs="Arial"/>
        </w:rPr>
        <w:t xml:space="preserve">a je </w:t>
      </w:r>
      <w:r w:rsidR="006B594E">
        <w:rPr>
          <w:rFonts w:ascii="Arial" w:hAnsi="Arial" w:cs="Arial"/>
        </w:rPr>
        <w:t>optužen</w:t>
      </w:r>
      <w:r w:rsidR="008F4C09" w:rsidRPr="00347A66">
        <w:rPr>
          <w:rFonts w:ascii="Arial" w:hAnsi="Arial" w:cs="Arial"/>
        </w:rPr>
        <w:t>i G</w:t>
      </w:r>
      <w:r w:rsidR="0018702D">
        <w:rPr>
          <w:rFonts w:ascii="Arial" w:hAnsi="Arial" w:cs="Arial"/>
        </w:rPr>
        <w:t>.</w:t>
      </w:r>
      <w:r w:rsidR="008F4C09" w:rsidRPr="00347A66">
        <w:rPr>
          <w:rFonts w:ascii="Arial" w:hAnsi="Arial" w:cs="Arial"/>
        </w:rPr>
        <w:t>O</w:t>
      </w:r>
      <w:r w:rsidR="0018702D">
        <w:rPr>
          <w:rFonts w:ascii="Arial" w:hAnsi="Arial" w:cs="Arial"/>
        </w:rPr>
        <w:t>.</w:t>
      </w:r>
      <w:r w:rsidR="008F4C09" w:rsidRPr="00347A66">
        <w:rPr>
          <w:rFonts w:ascii="Arial" w:hAnsi="Arial" w:cs="Arial"/>
        </w:rPr>
        <w:t xml:space="preserve"> </w:t>
      </w:r>
      <w:r w:rsidR="006B594E">
        <w:rPr>
          <w:rFonts w:ascii="Arial" w:hAnsi="Arial" w:cs="Arial"/>
        </w:rPr>
        <w:t>duži vremenski period bio nedostupan organima krivičnog gonjenja u BiH dvije godine, da je za istim bila raspisana međunarodna potjernica po osnovu koje je izručen Bosni i Hercegovini od strane pravosudnih organa Republike Č</w:t>
      </w:r>
      <w:r w:rsidR="000E687E">
        <w:rPr>
          <w:rFonts w:ascii="Arial" w:hAnsi="Arial" w:cs="Arial"/>
        </w:rPr>
        <w:t>eške</w:t>
      </w:r>
      <w:r w:rsidR="006B594E">
        <w:rPr>
          <w:rFonts w:ascii="Arial" w:hAnsi="Arial" w:cs="Arial"/>
        </w:rPr>
        <w:t xml:space="preserve">, iz čega Tužilaštvo zaključuje da bi, puštanjem optuženog na slobodu, isti opet mogao postati nedostupan i na taj način otežati ili onemogućiti vođenje ovog krivičnog postupka. </w:t>
      </w:r>
      <w:r w:rsidR="003A168D">
        <w:rPr>
          <w:rFonts w:ascii="Arial" w:hAnsi="Arial" w:cs="Arial"/>
        </w:rPr>
        <w:t>Imajući u vidu sve navedeno, Tužilaštvo navodi da sve navedene okolnosti nesporno ukazuju na postojanje opasnosti od bjekstva, koja se može otkloniti samo mjerom pritvora nakon potvrđivanja optužnice.</w:t>
      </w:r>
    </w:p>
    <w:p w14:paraId="4E0EF7CA" w14:textId="77777777" w:rsidR="006B594E" w:rsidRDefault="006B594E" w:rsidP="00AC64B3">
      <w:pPr>
        <w:spacing w:line="360" w:lineRule="auto"/>
        <w:ind w:left="-144" w:right="-288"/>
        <w:jc w:val="both"/>
        <w:rPr>
          <w:rFonts w:ascii="Arial" w:hAnsi="Arial" w:cs="Arial"/>
        </w:rPr>
      </w:pPr>
    </w:p>
    <w:p w14:paraId="5AD7FEF3" w14:textId="2737EF1B" w:rsidR="00A77454" w:rsidRDefault="00AC64B3" w:rsidP="00AC64B3">
      <w:pPr>
        <w:spacing w:line="360" w:lineRule="auto"/>
        <w:ind w:left="-144" w:right="-288"/>
        <w:jc w:val="both"/>
        <w:rPr>
          <w:rFonts w:ascii="Arial" w:hAnsi="Arial" w:cs="Arial"/>
        </w:rPr>
      </w:pPr>
      <w:r w:rsidRPr="00AC64B3">
        <w:rPr>
          <w:rFonts w:ascii="Arial" w:hAnsi="Arial" w:cs="Arial"/>
        </w:rPr>
        <w:t>Na ročištu</w:t>
      </w:r>
      <w:r w:rsidR="003A168D">
        <w:rPr>
          <w:rFonts w:ascii="Arial" w:hAnsi="Arial" w:cs="Arial"/>
        </w:rPr>
        <w:t xml:space="preserve"> održanom povodom dostavljenog Prijedloga Tužilaštva BiH,</w:t>
      </w:r>
      <w:r w:rsidRPr="00AC64B3">
        <w:rPr>
          <w:rFonts w:ascii="Arial" w:hAnsi="Arial" w:cs="Arial"/>
        </w:rPr>
        <w:t xml:space="preserve"> održanom dana </w:t>
      </w:r>
      <w:r w:rsidR="003A168D">
        <w:rPr>
          <w:rFonts w:ascii="Arial" w:hAnsi="Arial" w:cs="Arial"/>
        </w:rPr>
        <w:t>10.01.2025.</w:t>
      </w:r>
      <w:r w:rsidRPr="00AC64B3">
        <w:rPr>
          <w:rFonts w:ascii="Arial" w:hAnsi="Arial" w:cs="Arial"/>
        </w:rPr>
        <w:t xml:space="preserve"> godine, </w:t>
      </w:r>
      <w:r w:rsidR="003A168D" w:rsidRPr="003A168D">
        <w:rPr>
          <w:rFonts w:ascii="Arial" w:hAnsi="Arial" w:cs="Arial"/>
          <w:b/>
          <w:bCs/>
        </w:rPr>
        <w:t>postupajući tužilac Tužilaštva BiH</w:t>
      </w:r>
      <w:r w:rsidR="003A168D">
        <w:rPr>
          <w:rFonts w:ascii="Arial" w:hAnsi="Arial" w:cs="Arial"/>
        </w:rPr>
        <w:t xml:space="preserve"> naveo je</w:t>
      </w:r>
      <w:r w:rsidR="004D0F58">
        <w:rPr>
          <w:rFonts w:ascii="Arial" w:hAnsi="Arial" w:cs="Arial"/>
        </w:rPr>
        <w:t xml:space="preserve"> da se neće osvrtati na postojanje osnovane sumnje imajući u vidu da je optužnica potvrđena, ističući da je Tužilaštvo predložilo da se prema optuženom produži pritvor jer je isti preko dvije godine bio nedostupan organima gonjenja Bosne i Hercegovine i da postoji opasnost da ponovo postane nedostupan ukoliko se pusti na slobodu, jer nije državljanin BiH i da nema nikakve veze sa BiH, kao i da su mu dobro poznati ilegalni načini za prelazak državne granice. </w:t>
      </w:r>
    </w:p>
    <w:p w14:paraId="27DCAE4F" w14:textId="77777777" w:rsidR="004D0F58" w:rsidRPr="00347A66" w:rsidRDefault="004D0F58" w:rsidP="00AC64B3">
      <w:pPr>
        <w:spacing w:line="360" w:lineRule="auto"/>
        <w:ind w:left="-144" w:right="-288"/>
        <w:jc w:val="both"/>
        <w:rPr>
          <w:rFonts w:ascii="Arial" w:hAnsi="Arial" w:cs="Arial"/>
        </w:rPr>
      </w:pPr>
    </w:p>
    <w:p w14:paraId="344927B1" w14:textId="711EDCCD" w:rsidR="00664DE5" w:rsidRDefault="00A77454" w:rsidP="00AD4958">
      <w:pPr>
        <w:spacing w:line="360" w:lineRule="auto"/>
        <w:ind w:left="-144" w:right="-288"/>
        <w:jc w:val="both"/>
        <w:rPr>
          <w:rFonts w:ascii="Arial" w:hAnsi="Arial" w:cs="Arial"/>
        </w:rPr>
      </w:pPr>
      <w:r w:rsidRPr="004D0F58">
        <w:rPr>
          <w:rFonts w:ascii="Arial" w:hAnsi="Arial" w:cs="Arial"/>
          <w:b/>
          <w:bCs/>
        </w:rPr>
        <w:t>Brani</w:t>
      </w:r>
      <w:r w:rsidR="004D0F58">
        <w:rPr>
          <w:rFonts w:ascii="Arial" w:hAnsi="Arial" w:cs="Arial"/>
          <w:b/>
          <w:bCs/>
        </w:rPr>
        <w:t>teljica</w:t>
      </w:r>
      <w:r w:rsidRPr="004D0F58">
        <w:rPr>
          <w:rFonts w:ascii="Arial" w:hAnsi="Arial" w:cs="Arial"/>
          <w:b/>
          <w:bCs/>
        </w:rPr>
        <w:t xml:space="preserve"> </w:t>
      </w:r>
      <w:r w:rsidR="003A168D" w:rsidRPr="004D0F58">
        <w:rPr>
          <w:rFonts w:ascii="Arial" w:hAnsi="Arial" w:cs="Arial"/>
          <w:b/>
          <w:bCs/>
        </w:rPr>
        <w:t>optuženog</w:t>
      </w:r>
      <w:r w:rsidRPr="004D0F58">
        <w:rPr>
          <w:rFonts w:ascii="Arial" w:hAnsi="Arial" w:cs="Arial"/>
          <w:b/>
          <w:bCs/>
        </w:rPr>
        <w:t xml:space="preserve"> G</w:t>
      </w:r>
      <w:r w:rsidR="00C25998">
        <w:rPr>
          <w:rFonts w:ascii="Arial" w:hAnsi="Arial" w:cs="Arial"/>
          <w:b/>
          <w:bCs/>
        </w:rPr>
        <w:t>.</w:t>
      </w:r>
      <w:r w:rsidRPr="004D0F58">
        <w:rPr>
          <w:rFonts w:ascii="Arial" w:hAnsi="Arial" w:cs="Arial"/>
          <w:b/>
          <w:bCs/>
        </w:rPr>
        <w:t>O</w:t>
      </w:r>
      <w:r w:rsidR="00C25998">
        <w:rPr>
          <w:rFonts w:ascii="Arial" w:hAnsi="Arial" w:cs="Arial"/>
          <w:b/>
          <w:bCs/>
        </w:rPr>
        <w:t>.</w:t>
      </w:r>
      <w:r w:rsidRPr="00EE1049">
        <w:rPr>
          <w:rFonts w:ascii="Arial" w:hAnsi="Arial" w:cs="Arial"/>
          <w:b/>
          <w:bCs/>
        </w:rPr>
        <w:t xml:space="preserve"> advokat </w:t>
      </w:r>
      <w:r w:rsidR="004D0F58" w:rsidRPr="00EE1049">
        <w:rPr>
          <w:rFonts w:ascii="Arial" w:hAnsi="Arial" w:cs="Arial"/>
          <w:b/>
          <w:bCs/>
        </w:rPr>
        <w:t>Lejla Čović</w:t>
      </w:r>
      <w:r w:rsidR="004D0F58">
        <w:rPr>
          <w:rFonts w:ascii="Arial" w:hAnsi="Arial" w:cs="Arial"/>
        </w:rPr>
        <w:t xml:space="preserve"> (u zamjeni za advokata Đorđa Jugovića)</w:t>
      </w:r>
      <w:r w:rsidRPr="004D0F58">
        <w:rPr>
          <w:rFonts w:ascii="Arial" w:hAnsi="Arial" w:cs="Arial"/>
        </w:rPr>
        <w:t xml:space="preserve">, </w:t>
      </w:r>
      <w:r w:rsidR="004D0F58">
        <w:rPr>
          <w:rFonts w:ascii="Arial" w:hAnsi="Arial" w:cs="Arial"/>
        </w:rPr>
        <w:t xml:space="preserve">predložila je da se prijedlog Tužilaštva BiH odbije kao neosnovan, prije svega što se u rezultatima istrage u optužnici navodi da provedeni dokazi ukazuju na to da je optuženi počinio </w:t>
      </w:r>
      <w:r w:rsidR="004D0F58">
        <w:rPr>
          <w:rFonts w:ascii="Arial" w:hAnsi="Arial" w:cs="Arial"/>
        </w:rPr>
        <w:lastRenderedPageBreak/>
        <w:t>krivično djelo kako je opisano, kao i da nisu tačni navodi da se radi o kontinuiranoj organizaciji prenosa opojne droge preko međudržavnih granica, smatrajući kako se radi o kontradiktornim navodima jer se optuženom na teret stavlja počinjenje samo jedne radnje i to narudžbe 2 kg opojne droge „kokain“ koja je donesena u Č</w:t>
      </w:r>
      <w:r w:rsidR="000E687E">
        <w:rPr>
          <w:rFonts w:ascii="Arial" w:hAnsi="Arial" w:cs="Arial"/>
        </w:rPr>
        <w:t>ešku</w:t>
      </w:r>
      <w:r w:rsidR="004D0F58">
        <w:rPr>
          <w:rFonts w:ascii="Arial" w:hAnsi="Arial" w:cs="Arial"/>
        </w:rPr>
        <w:t xml:space="preserve">, iz čega se ne može zaključiti da postoji kontinuirani prenos opojne droge kako se to navodi u optužnici. Dalje je odbrana istakla da je prijedlog za produženje pritvora neosnovan jer se optuženom na teret stavlja djelovanje u više zemalja, iako iz činjeničnog opisa optužnice proizilazi da je optuženi vezan samo za jednu državu i da argument da je stekao međunarodne kontakte ne stoji, kao i da nije tačan navod da postoji veći broj lica koja su kontakti optuženog i da bi mu isti mogli pomoći prilikom bjekstva, jer lica koja su navedena u činjeničnom opisu optužnice već imaju status optuženih i protiv njih se vodi postupak u </w:t>
      </w:r>
      <w:r w:rsidR="004D0F58" w:rsidRPr="00540AA6">
        <w:rPr>
          <w:rFonts w:ascii="Arial" w:hAnsi="Arial" w:cs="Arial"/>
        </w:rPr>
        <w:t>predmetu B</w:t>
      </w:r>
      <w:r w:rsidR="00FF1E34">
        <w:rPr>
          <w:rFonts w:ascii="Arial" w:hAnsi="Arial" w:cs="Arial"/>
        </w:rPr>
        <w:t>.</w:t>
      </w:r>
      <w:r w:rsidR="004D0F58" w:rsidRPr="00540AA6">
        <w:rPr>
          <w:rFonts w:ascii="Arial" w:hAnsi="Arial" w:cs="Arial"/>
        </w:rPr>
        <w:t>C</w:t>
      </w:r>
      <w:r w:rsidR="00FF1E34">
        <w:rPr>
          <w:rFonts w:ascii="Arial" w:hAnsi="Arial" w:cs="Arial"/>
        </w:rPr>
        <w:t>.</w:t>
      </w:r>
      <w:r w:rsidR="004D0F58" w:rsidRPr="00540AA6">
        <w:rPr>
          <w:rFonts w:ascii="Arial" w:hAnsi="Arial" w:cs="Arial"/>
        </w:rPr>
        <w:t xml:space="preserve"> i drugi.</w:t>
      </w:r>
      <w:r w:rsidR="004D0F58">
        <w:rPr>
          <w:rFonts w:ascii="Arial" w:hAnsi="Arial" w:cs="Arial"/>
        </w:rPr>
        <w:t xml:space="preserve"> Pored toga, odbrana smatra da ne stoji navod da je optuženi bio povezan sa grupama za organizovani kriminal u J</w:t>
      </w:r>
      <w:r w:rsidR="000E687E">
        <w:rPr>
          <w:rFonts w:ascii="Arial" w:hAnsi="Arial" w:cs="Arial"/>
        </w:rPr>
        <w:t xml:space="preserve">užnoj </w:t>
      </w:r>
      <w:r w:rsidR="004D0F58">
        <w:rPr>
          <w:rFonts w:ascii="Arial" w:hAnsi="Arial" w:cs="Arial"/>
        </w:rPr>
        <w:t>A</w:t>
      </w:r>
      <w:r w:rsidR="000E687E">
        <w:rPr>
          <w:rFonts w:ascii="Arial" w:hAnsi="Arial" w:cs="Arial"/>
        </w:rPr>
        <w:t>merici</w:t>
      </w:r>
      <w:r w:rsidR="004D0F58">
        <w:rPr>
          <w:rFonts w:ascii="Arial" w:hAnsi="Arial" w:cs="Arial"/>
        </w:rPr>
        <w:t xml:space="preserve">, te da u činjeničnom opisu o tome nema ni riječi. </w:t>
      </w:r>
      <w:r w:rsidR="00D05939">
        <w:rPr>
          <w:rFonts w:ascii="Arial" w:hAnsi="Arial" w:cs="Arial"/>
        </w:rPr>
        <w:t>Također, kada je u pitanju predmet B</w:t>
      </w:r>
      <w:r w:rsidR="00FF1E34">
        <w:rPr>
          <w:rFonts w:ascii="Arial" w:hAnsi="Arial" w:cs="Arial"/>
        </w:rPr>
        <w:t>.</w:t>
      </w:r>
      <w:r w:rsidR="00D05939">
        <w:rPr>
          <w:rFonts w:ascii="Arial" w:hAnsi="Arial" w:cs="Arial"/>
        </w:rPr>
        <w:t>C</w:t>
      </w:r>
      <w:r w:rsidR="00FF1E34">
        <w:rPr>
          <w:rFonts w:ascii="Arial" w:hAnsi="Arial" w:cs="Arial"/>
        </w:rPr>
        <w:t>.</w:t>
      </w:r>
      <w:r w:rsidR="00D05939">
        <w:rPr>
          <w:rFonts w:ascii="Arial" w:hAnsi="Arial" w:cs="Arial"/>
        </w:rPr>
        <w:t xml:space="preserve"> i drugi, odbrana je istakla da se svi optuženi u tom predmetu nalaze na slobodi, osim optuženog M</w:t>
      </w:r>
      <w:r w:rsidR="00FF1E34">
        <w:rPr>
          <w:rFonts w:ascii="Arial" w:hAnsi="Arial" w:cs="Arial"/>
        </w:rPr>
        <w:t>.</w:t>
      </w:r>
      <w:r w:rsidR="00D05939">
        <w:rPr>
          <w:rFonts w:ascii="Arial" w:hAnsi="Arial" w:cs="Arial"/>
        </w:rPr>
        <w:t>T</w:t>
      </w:r>
      <w:r w:rsidR="00FF1E34">
        <w:rPr>
          <w:rFonts w:ascii="Arial" w:hAnsi="Arial" w:cs="Arial"/>
        </w:rPr>
        <w:t>.</w:t>
      </w:r>
      <w:r w:rsidR="00D05939">
        <w:rPr>
          <w:rFonts w:ascii="Arial" w:hAnsi="Arial" w:cs="Arial"/>
        </w:rPr>
        <w:t>, te da jedinu mjeru zabrane koju imaju na snazi jeste zabrana međusobne komunikacije. Dalje je odbrana istakla da je optuženi izručen od strane Č</w:t>
      </w:r>
      <w:r w:rsidR="000E687E">
        <w:rPr>
          <w:rFonts w:ascii="Arial" w:hAnsi="Arial" w:cs="Arial"/>
        </w:rPr>
        <w:t>eške</w:t>
      </w:r>
      <w:r w:rsidR="00D05939">
        <w:rPr>
          <w:rFonts w:ascii="Arial" w:hAnsi="Arial" w:cs="Arial"/>
        </w:rPr>
        <w:t xml:space="preserve"> nakon što je šest mjeseci proveo na slobodi, jer država BiH nije u zakonskom roku tražila izručenje, kao i da je prije toga optuženi proveo 40 dana u ekstradicionom pritvoru, te da mu je od strane nadležnih organa u P</w:t>
      </w:r>
      <w:r w:rsidR="00680847">
        <w:rPr>
          <w:rFonts w:ascii="Arial" w:hAnsi="Arial" w:cs="Arial"/>
        </w:rPr>
        <w:t>ragu</w:t>
      </w:r>
      <w:r w:rsidR="00D05939">
        <w:rPr>
          <w:rFonts w:ascii="Arial" w:hAnsi="Arial" w:cs="Arial"/>
        </w:rPr>
        <w:t xml:space="preserve"> saopšteno da je protiv njega raspisana međunarodna potjernica i da se u tom vremenskom periodu nije dao u bjekstvo i da se redovno odazivao na pozive organa gonjenja, kao i da je tek 04.06.2024. godine lišen slobode i izručen BiH. Odbrana smatra da optuženi nije pokazao bilo kakvu namjeru da izbjegava krivični postupak, te da je u tih šest mjeseci, koliko je proveo u pritvoru u BiH, samo jednom saslušan i da to jedina radnja koju je Tužilaštvo preduzelo za to vrijeme. Zbog svega navedenog, odbrana smatra da, u situaciji kada optuženi sve vrijeme sarađuje sa organima gonjenja, dolazi u BiH u sklopu ekstradicionog postupka, da nije zabilježena bilo koja radnja stupanja u kontakt s drugim licima, pri čemu su sva lica koja Tužilaštvo navodi kao saizvršioce</w:t>
      </w:r>
      <w:r w:rsidR="00E369B7">
        <w:rPr>
          <w:rFonts w:ascii="Arial" w:hAnsi="Arial" w:cs="Arial"/>
        </w:rPr>
        <w:t xml:space="preserve"> trenutno na slobodi i protiv istih se vodi krivični postupak, smatrajući da su ispunjeni uslovi da se u odnosu na optuženog ukine mjera pritvora i da se prema istom odrede mjere zabrane. S tim u vezi, odbrana je navela da bi optuženi boravio na adresi jednog prijatelja koji bi svakako dao saglasnost za navedeno, pritom predlažući da se od optuženog oduzmu sve putne isprave, obzirom na iskazanu volju da će poštovati bilo koju izrečenu mjeru zabrane. Na osnovu svega iznesenog, odbrana je predložila da se prijedlog </w:t>
      </w:r>
      <w:r w:rsidR="00E369B7" w:rsidRPr="00540AA6">
        <w:rPr>
          <w:rFonts w:ascii="Arial" w:hAnsi="Arial" w:cs="Arial"/>
        </w:rPr>
        <w:t>Tužilaštva odbije kao neosnovan.</w:t>
      </w:r>
      <w:r w:rsidR="00E369B7">
        <w:rPr>
          <w:rFonts w:ascii="Arial" w:hAnsi="Arial" w:cs="Arial"/>
        </w:rPr>
        <w:t xml:space="preserve"> </w:t>
      </w:r>
    </w:p>
    <w:p w14:paraId="06BEF094" w14:textId="6620137D" w:rsidR="00E369B7" w:rsidRDefault="00E369B7" w:rsidP="00AD4958">
      <w:pPr>
        <w:spacing w:line="360" w:lineRule="auto"/>
        <w:ind w:left="-144" w:right="-288"/>
        <w:jc w:val="both"/>
        <w:rPr>
          <w:rFonts w:ascii="Arial" w:hAnsi="Arial" w:cs="Arial"/>
        </w:rPr>
      </w:pPr>
    </w:p>
    <w:p w14:paraId="77988550" w14:textId="140F75EB" w:rsidR="00E369B7" w:rsidRDefault="00E369B7" w:rsidP="00AD4958">
      <w:pPr>
        <w:spacing w:line="360" w:lineRule="auto"/>
        <w:ind w:left="-144" w:right="-288"/>
        <w:jc w:val="both"/>
        <w:rPr>
          <w:rFonts w:ascii="Arial" w:hAnsi="Arial" w:cs="Arial"/>
        </w:rPr>
      </w:pPr>
      <w:r w:rsidRPr="00E369B7">
        <w:rPr>
          <w:rFonts w:ascii="Arial" w:hAnsi="Arial" w:cs="Arial"/>
          <w:b/>
          <w:bCs/>
        </w:rPr>
        <w:t>Optuženi G</w:t>
      </w:r>
      <w:r w:rsidR="00C25998">
        <w:rPr>
          <w:rFonts w:ascii="Arial" w:hAnsi="Arial" w:cs="Arial"/>
          <w:b/>
          <w:bCs/>
        </w:rPr>
        <w:t>.</w:t>
      </w:r>
      <w:r w:rsidRPr="00E369B7">
        <w:rPr>
          <w:rFonts w:ascii="Arial" w:hAnsi="Arial" w:cs="Arial"/>
          <w:b/>
          <w:bCs/>
        </w:rPr>
        <w:t>O</w:t>
      </w:r>
      <w:r w:rsidR="00C25998">
        <w:rPr>
          <w:rFonts w:ascii="Arial" w:hAnsi="Arial" w:cs="Arial"/>
          <w:b/>
          <w:bCs/>
        </w:rPr>
        <w:t>.</w:t>
      </w:r>
      <w:r>
        <w:rPr>
          <w:rFonts w:ascii="Arial" w:hAnsi="Arial" w:cs="Arial"/>
        </w:rPr>
        <w:t xml:space="preserve"> saglasio se s navodima braniteljice, pritom ističući da ne posjeduje češko državljanstvo, nego samo državljanstvo C</w:t>
      </w:r>
      <w:r w:rsidR="00680847">
        <w:rPr>
          <w:rFonts w:ascii="Arial" w:hAnsi="Arial" w:cs="Arial"/>
        </w:rPr>
        <w:t xml:space="preserve">rne </w:t>
      </w:r>
      <w:r>
        <w:rPr>
          <w:rFonts w:ascii="Arial" w:hAnsi="Arial" w:cs="Arial"/>
        </w:rPr>
        <w:t>G</w:t>
      </w:r>
      <w:r w:rsidR="00680847">
        <w:rPr>
          <w:rFonts w:ascii="Arial" w:hAnsi="Arial" w:cs="Arial"/>
        </w:rPr>
        <w:t>ore</w:t>
      </w:r>
      <w:r>
        <w:rPr>
          <w:rFonts w:ascii="Arial" w:hAnsi="Arial" w:cs="Arial"/>
        </w:rPr>
        <w:t xml:space="preserve"> i da u Č</w:t>
      </w:r>
      <w:r w:rsidR="00680847">
        <w:rPr>
          <w:rFonts w:ascii="Arial" w:hAnsi="Arial" w:cs="Arial"/>
        </w:rPr>
        <w:t xml:space="preserve">eškoj </w:t>
      </w:r>
      <w:r>
        <w:rPr>
          <w:rFonts w:ascii="Arial" w:hAnsi="Arial" w:cs="Arial"/>
        </w:rPr>
        <w:t>R</w:t>
      </w:r>
      <w:r w:rsidR="00680847">
        <w:rPr>
          <w:rFonts w:ascii="Arial" w:hAnsi="Arial" w:cs="Arial"/>
        </w:rPr>
        <w:t>epublici</w:t>
      </w:r>
      <w:r>
        <w:rPr>
          <w:rFonts w:ascii="Arial" w:hAnsi="Arial" w:cs="Arial"/>
        </w:rPr>
        <w:t xml:space="preserve"> ima samo prebivalište. </w:t>
      </w:r>
    </w:p>
    <w:p w14:paraId="188C63AC" w14:textId="5CD88C15" w:rsidR="00E369B7" w:rsidRDefault="00E369B7" w:rsidP="00AD4958">
      <w:pPr>
        <w:spacing w:line="360" w:lineRule="auto"/>
        <w:ind w:left="-144" w:right="-288"/>
        <w:jc w:val="both"/>
        <w:rPr>
          <w:rFonts w:ascii="Arial" w:hAnsi="Arial" w:cs="Arial"/>
        </w:rPr>
      </w:pPr>
    </w:p>
    <w:p w14:paraId="7A82F038" w14:textId="4F4F0797" w:rsidR="00E369B7" w:rsidRDefault="00E369B7" w:rsidP="00AD4958">
      <w:pPr>
        <w:spacing w:line="360" w:lineRule="auto"/>
        <w:ind w:left="-144" w:right="-288"/>
        <w:jc w:val="both"/>
        <w:rPr>
          <w:rFonts w:ascii="Arial" w:hAnsi="Arial" w:cs="Arial"/>
        </w:rPr>
      </w:pPr>
      <w:r>
        <w:rPr>
          <w:rFonts w:ascii="Arial" w:hAnsi="Arial" w:cs="Arial"/>
        </w:rPr>
        <w:t xml:space="preserve">Povom prijedloga odbrane da se prema optuženom ukine pritvor i odrede mjere zabrane, postupajući tužilac je naveo da Tužilaštvo smatra da navedene mjere za sada ne bi dale rezultate, ostajući pri podnesenom prijedlogu. </w:t>
      </w:r>
    </w:p>
    <w:p w14:paraId="7F94C82D" w14:textId="77777777" w:rsidR="00A77454" w:rsidRPr="00347A66" w:rsidRDefault="00A77454" w:rsidP="003A168D">
      <w:pPr>
        <w:spacing w:line="360" w:lineRule="auto"/>
        <w:ind w:right="-288"/>
        <w:jc w:val="both"/>
        <w:rPr>
          <w:rFonts w:ascii="Arial" w:hAnsi="Arial" w:cs="Arial"/>
          <w:b/>
          <w:bCs/>
          <w:color w:val="FF0000"/>
        </w:rPr>
      </w:pPr>
    </w:p>
    <w:p w14:paraId="5853200E" w14:textId="6A7B4B77" w:rsidR="00605B4F" w:rsidRPr="00605B4F" w:rsidRDefault="00605B4F" w:rsidP="00605B4F">
      <w:pPr>
        <w:spacing w:line="360" w:lineRule="auto"/>
        <w:ind w:left="-144" w:right="-288"/>
        <w:jc w:val="both"/>
        <w:rPr>
          <w:rFonts w:ascii="Arial" w:hAnsi="Arial" w:cs="Arial"/>
          <w:b/>
          <w:bCs/>
        </w:rPr>
      </w:pPr>
      <w:r w:rsidRPr="00605B4F">
        <w:rPr>
          <w:rFonts w:ascii="Arial" w:hAnsi="Arial" w:cs="Arial"/>
          <w:b/>
          <w:bCs/>
        </w:rPr>
        <w:t xml:space="preserve">Nakon izvršenog uvida u dostavljeni </w:t>
      </w:r>
      <w:r>
        <w:rPr>
          <w:rFonts w:ascii="Arial" w:hAnsi="Arial" w:cs="Arial"/>
          <w:b/>
          <w:bCs/>
        </w:rPr>
        <w:t>P</w:t>
      </w:r>
      <w:r w:rsidRPr="00605B4F">
        <w:rPr>
          <w:rFonts w:ascii="Arial" w:hAnsi="Arial" w:cs="Arial"/>
          <w:b/>
          <w:bCs/>
        </w:rPr>
        <w:t xml:space="preserve">rijedlog Tužilaštva BiH, kao i izjašnjenja stranaka i branioca na ročištu, te izvršenog uvida u predmetni spis, </w:t>
      </w:r>
      <w:r>
        <w:rPr>
          <w:rFonts w:ascii="Arial" w:hAnsi="Arial" w:cs="Arial"/>
          <w:b/>
          <w:bCs/>
        </w:rPr>
        <w:t>Vijeće je donijelo</w:t>
      </w:r>
      <w:r w:rsidRPr="00605B4F">
        <w:rPr>
          <w:rFonts w:ascii="Arial" w:hAnsi="Arial" w:cs="Arial"/>
          <w:b/>
          <w:bCs/>
        </w:rPr>
        <w:t xml:space="preserve"> odluku kao u dispozitivu, iz sljedećih razloga:</w:t>
      </w:r>
    </w:p>
    <w:p w14:paraId="0801B0AD" w14:textId="77777777" w:rsidR="00605B4F" w:rsidRPr="00605B4F" w:rsidRDefault="00605B4F" w:rsidP="00605B4F">
      <w:pPr>
        <w:spacing w:line="360" w:lineRule="auto"/>
        <w:ind w:left="-144" w:right="-288"/>
        <w:jc w:val="both"/>
        <w:rPr>
          <w:rFonts w:ascii="Arial" w:hAnsi="Arial" w:cs="Arial"/>
          <w:b/>
          <w:bCs/>
        </w:rPr>
      </w:pPr>
    </w:p>
    <w:p w14:paraId="43E38C6D" w14:textId="3C26E519" w:rsidR="00605B4F" w:rsidRDefault="00605B4F" w:rsidP="00605B4F">
      <w:pPr>
        <w:spacing w:line="360" w:lineRule="auto"/>
        <w:ind w:left="-144" w:right="-288"/>
        <w:jc w:val="both"/>
        <w:rPr>
          <w:rFonts w:ascii="Arial" w:hAnsi="Arial" w:cs="Arial"/>
        </w:rPr>
      </w:pPr>
      <w:r w:rsidRPr="00605B4F">
        <w:rPr>
          <w:rFonts w:ascii="Arial" w:hAnsi="Arial" w:cs="Arial"/>
        </w:rPr>
        <w:t xml:space="preserve">Prema odredbi člana 132. stav 1. ZKP BiH, pritvor se može odrediti samo ako postoji  osnovana sumnja da je određena osoba učinila krivično djelo. Standard osnovane sumnje predstavlja viši stepen vjerovatnoće da bi određena osoba mogla biti počinilac krivičnog djela. </w:t>
      </w:r>
      <w:r w:rsidR="00BF4FBB">
        <w:rPr>
          <w:rFonts w:ascii="Arial" w:hAnsi="Arial" w:cs="Arial"/>
        </w:rPr>
        <w:t xml:space="preserve">Vijeće </w:t>
      </w:r>
      <w:r w:rsidRPr="00605B4F">
        <w:rPr>
          <w:rFonts w:ascii="Arial" w:hAnsi="Arial" w:cs="Arial"/>
        </w:rPr>
        <w:t xml:space="preserve">podsjeća da je, prema odredbi člana 20. tačka i) ZKP BiH, osnovana sumnja određena kao viši stepen sumnje zasnovan na prikupljenim dokazima koji upućuju na zaključak da je izvršeno krivično djelo dok, prema ustanovljenoj praksi Evropskog suda za ljudska prava (ESLJP), osnovana sumnja podrazumijeva postojanje činjenica, odnosno informacija koje bi objektivnom posmatraču bile dovoljne da zaključi da postoji mogućnost da je lice o kojem se radi počinilo to djelo. U skladu sa navedenom odredbom Zakona o krivičnom postupku BiH i uspostavljenom sudskom praksom, kako domaćih sudova, tako i Evropskog suda za ljudska prava, </w:t>
      </w:r>
      <w:r w:rsidR="002E7B91">
        <w:rPr>
          <w:rFonts w:ascii="Arial" w:hAnsi="Arial" w:cs="Arial"/>
        </w:rPr>
        <w:t>Vijeće</w:t>
      </w:r>
      <w:r w:rsidRPr="00605B4F">
        <w:rPr>
          <w:rFonts w:ascii="Arial" w:hAnsi="Arial" w:cs="Arial"/>
        </w:rPr>
        <w:t xml:space="preserve"> je, zaključak o postojanju osnovane sumnje da je optuženi </w:t>
      </w:r>
      <w:r w:rsidR="002E7B91">
        <w:rPr>
          <w:rFonts w:ascii="Arial" w:hAnsi="Arial" w:cs="Arial"/>
        </w:rPr>
        <w:t>G</w:t>
      </w:r>
      <w:r w:rsidR="00540AA6">
        <w:rPr>
          <w:rFonts w:ascii="Arial" w:hAnsi="Arial" w:cs="Arial"/>
        </w:rPr>
        <w:t>.</w:t>
      </w:r>
      <w:r w:rsidR="002E7B91">
        <w:rPr>
          <w:rFonts w:ascii="Arial" w:hAnsi="Arial" w:cs="Arial"/>
        </w:rPr>
        <w:t>O</w:t>
      </w:r>
      <w:r w:rsidR="00540AA6">
        <w:rPr>
          <w:rFonts w:ascii="Arial" w:hAnsi="Arial" w:cs="Arial"/>
        </w:rPr>
        <w:t>.</w:t>
      </w:r>
      <w:r w:rsidRPr="00605B4F">
        <w:rPr>
          <w:rFonts w:ascii="Arial" w:hAnsi="Arial" w:cs="Arial"/>
        </w:rPr>
        <w:t xml:space="preserve"> počinio krivično djelo koje mu se optužnicom stavlja na teret, kao opšteg uslova za određivanje/produženje pritvora, izve</w:t>
      </w:r>
      <w:r w:rsidR="00BF4FBB">
        <w:rPr>
          <w:rFonts w:ascii="Arial" w:hAnsi="Arial" w:cs="Arial"/>
        </w:rPr>
        <w:t>l</w:t>
      </w:r>
      <w:r w:rsidRPr="00605B4F">
        <w:rPr>
          <w:rFonts w:ascii="Arial" w:hAnsi="Arial" w:cs="Arial"/>
        </w:rPr>
        <w:t xml:space="preserve">o iz potvrđene optužnice i dokaza dostavljenih uz istu. </w:t>
      </w:r>
    </w:p>
    <w:p w14:paraId="6D248956" w14:textId="77777777" w:rsidR="002E7B91" w:rsidRPr="00605B4F" w:rsidRDefault="002E7B91" w:rsidP="00605B4F">
      <w:pPr>
        <w:spacing w:line="360" w:lineRule="auto"/>
        <w:ind w:left="-144" w:right="-288"/>
        <w:jc w:val="both"/>
        <w:rPr>
          <w:rFonts w:ascii="Arial" w:hAnsi="Arial" w:cs="Arial"/>
        </w:rPr>
      </w:pPr>
    </w:p>
    <w:p w14:paraId="51546212" w14:textId="712D9376" w:rsidR="0040378B" w:rsidRPr="0040378B" w:rsidRDefault="0040378B" w:rsidP="0040378B">
      <w:pPr>
        <w:spacing w:line="360" w:lineRule="auto"/>
        <w:ind w:left="-144" w:right="-288"/>
        <w:jc w:val="both"/>
        <w:rPr>
          <w:rFonts w:ascii="Arial" w:hAnsi="Arial" w:cs="Arial"/>
        </w:rPr>
      </w:pPr>
      <w:r w:rsidRPr="0040378B">
        <w:rPr>
          <w:rFonts w:ascii="Arial" w:hAnsi="Arial" w:cs="Arial"/>
        </w:rPr>
        <w:t>U konkretnom slučaju, osnovana sumnja, kao faktičko pitanje, utvrđena je</w:t>
      </w:r>
      <w:r>
        <w:rPr>
          <w:rFonts w:ascii="Arial" w:hAnsi="Arial" w:cs="Arial"/>
        </w:rPr>
        <w:t xml:space="preserve"> od strane sudije za prethodno saslušanje prilikom</w:t>
      </w:r>
      <w:r w:rsidRPr="0040378B">
        <w:rPr>
          <w:rFonts w:ascii="Arial" w:hAnsi="Arial" w:cs="Arial"/>
        </w:rPr>
        <w:t xml:space="preserve"> potvrđivanja predmetne optužnice</w:t>
      </w:r>
      <w:r>
        <w:rPr>
          <w:rFonts w:ascii="Arial" w:hAnsi="Arial" w:cs="Arial"/>
        </w:rPr>
        <w:t xml:space="preserve">, </w:t>
      </w:r>
      <w:r w:rsidRPr="0040378B">
        <w:rPr>
          <w:rFonts w:ascii="Arial" w:hAnsi="Arial" w:cs="Arial"/>
        </w:rPr>
        <w:t xml:space="preserve">a na osnovu dokaznog materijala koji je </w:t>
      </w:r>
      <w:r>
        <w:rPr>
          <w:rFonts w:ascii="Arial" w:hAnsi="Arial" w:cs="Arial"/>
        </w:rPr>
        <w:t>tom prilikom dostavljen u prilogu</w:t>
      </w:r>
      <w:r w:rsidRPr="0040378B">
        <w:rPr>
          <w:rFonts w:ascii="Arial" w:hAnsi="Arial" w:cs="Arial"/>
        </w:rPr>
        <w:t>.</w:t>
      </w:r>
    </w:p>
    <w:p w14:paraId="2D433ECE" w14:textId="77777777" w:rsidR="0040378B" w:rsidRPr="0040378B" w:rsidRDefault="0040378B" w:rsidP="0040378B">
      <w:pPr>
        <w:spacing w:line="360" w:lineRule="auto"/>
        <w:ind w:left="-144" w:right="-288"/>
        <w:jc w:val="both"/>
        <w:rPr>
          <w:rFonts w:ascii="Arial" w:hAnsi="Arial" w:cs="Arial"/>
        </w:rPr>
      </w:pPr>
    </w:p>
    <w:p w14:paraId="47B209E6" w14:textId="5AA6AEC2" w:rsidR="00250381" w:rsidRPr="00347A66" w:rsidRDefault="00BF4FBB" w:rsidP="00715064">
      <w:pPr>
        <w:spacing w:line="360" w:lineRule="auto"/>
        <w:ind w:left="-144" w:right="-288"/>
        <w:jc w:val="both"/>
        <w:rPr>
          <w:rFonts w:ascii="Arial" w:hAnsi="Arial" w:cs="Arial"/>
        </w:rPr>
      </w:pPr>
      <w:r>
        <w:rPr>
          <w:rFonts w:ascii="Arial" w:hAnsi="Arial" w:cs="Arial"/>
        </w:rPr>
        <w:lastRenderedPageBreak/>
        <w:t>Takav d</w:t>
      </w:r>
      <w:r w:rsidR="0040378B" w:rsidRPr="0040378B">
        <w:rPr>
          <w:rFonts w:ascii="Arial" w:hAnsi="Arial" w:cs="Arial"/>
        </w:rPr>
        <w:t xml:space="preserve">okazni materijal optužbe, i po ocjeni ovog </w:t>
      </w:r>
      <w:r w:rsidR="0040378B">
        <w:rPr>
          <w:rFonts w:ascii="Arial" w:hAnsi="Arial" w:cs="Arial"/>
        </w:rPr>
        <w:t>V</w:t>
      </w:r>
      <w:r w:rsidR="0040378B" w:rsidRPr="0040378B">
        <w:rPr>
          <w:rFonts w:ascii="Arial" w:hAnsi="Arial" w:cs="Arial"/>
        </w:rPr>
        <w:t>ijeća, upućuj</w:t>
      </w:r>
      <w:r w:rsidR="0040378B">
        <w:rPr>
          <w:rFonts w:ascii="Arial" w:hAnsi="Arial" w:cs="Arial"/>
        </w:rPr>
        <w:t>e</w:t>
      </w:r>
      <w:r w:rsidR="0040378B" w:rsidRPr="0040378B">
        <w:rPr>
          <w:rFonts w:ascii="Arial" w:hAnsi="Arial" w:cs="Arial"/>
        </w:rPr>
        <w:t xml:space="preserve"> na zaključak o postojanju osnovane </w:t>
      </w:r>
      <w:r w:rsidR="0040378B">
        <w:rPr>
          <w:rFonts w:ascii="Arial" w:hAnsi="Arial" w:cs="Arial"/>
        </w:rPr>
        <w:t>sumnje</w:t>
      </w:r>
      <w:r w:rsidR="00600C8D" w:rsidRPr="00347A66">
        <w:rPr>
          <w:rFonts w:ascii="Arial" w:hAnsi="Arial" w:cs="Arial"/>
        </w:rPr>
        <w:t xml:space="preserve"> da su pripadnici grupe, uključujući i </w:t>
      </w:r>
      <w:r w:rsidR="0034155B">
        <w:rPr>
          <w:rFonts w:ascii="Arial" w:hAnsi="Arial" w:cs="Arial"/>
        </w:rPr>
        <w:t>optuženog</w:t>
      </w:r>
      <w:r w:rsidR="00600C8D" w:rsidRPr="00347A66">
        <w:rPr>
          <w:rFonts w:ascii="Arial" w:hAnsi="Arial" w:cs="Arial"/>
        </w:rPr>
        <w:t xml:space="preserve"> G</w:t>
      </w:r>
      <w:r w:rsidR="00540AA6">
        <w:rPr>
          <w:rFonts w:ascii="Arial" w:hAnsi="Arial" w:cs="Arial"/>
        </w:rPr>
        <w:t>.</w:t>
      </w:r>
      <w:r w:rsidR="00600C8D" w:rsidRPr="00347A66">
        <w:rPr>
          <w:rFonts w:ascii="Arial" w:hAnsi="Arial" w:cs="Arial"/>
        </w:rPr>
        <w:t>O</w:t>
      </w:r>
      <w:r w:rsidR="00540AA6">
        <w:rPr>
          <w:rFonts w:ascii="Arial" w:hAnsi="Arial" w:cs="Arial"/>
        </w:rPr>
        <w:t>.</w:t>
      </w:r>
      <w:r w:rsidR="00600C8D" w:rsidRPr="00347A66">
        <w:rPr>
          <w:rFonts w:ascii="Arial" w:hAnsi="Arial" w:cs="Arial"/>
        </w:rPr>
        <w:t xml:space="preserve"> za međusobnu komunikaciju koristili zaštićene telefone, tzv. „kripte“, kao i „Sky Ecc“ aplikaciju, razmijenivši tako međusobno, kao i sa drugim licima uključenim u kupoprodaju opojne droge, veći broj tekstualnih </w:t>
      </w:r>
      <w:r w:rsidR="00600C8D" w:rsidRPr="00347A66">
        <w:rPr>
          <w:rFonts w:ascii="Arial" w:eastAsia="Calibri" w:hAnsi="Arial" w:cs="Arial"/>
          <w:bCs/>
        </w:rPr>
        <w:t>poruka, te poruka medijskog sadržaja</w:t>
      </w:r>
      <w:r w:rsidR="0034155B">
        <w:rPr>
          <w:rFonts w:ascii="Arial" w:eastAsia="Calibri" w:hAnsi="Arial" w:cs="Arial"/>
          <w:bCs/>
        </w:rPr>
        <w:t xml:space="preserve">, iz kojeg se </w:t>
      </w:r>
      <w:r w:rsidR="00600C8D" w:rsidRPr="00347A66">
        <w:rPr>
          <w:rFonts w:ascii="Arial" w:hAnsi="Arial" w:cs="Arial"/>
        </w:rPr>
        <w:t xml:space="preserve">jasno da zaključiti da se </w:t>
      </w:r>
      <w:r w:rsidR="0034155B">
        <w:rPr>
          <w:rFonts w:ascii="Arial" w:hAnsi="Arial" w:cs="Arial"/>
        </w:rPr>
        <w:t xml:space="preserve">navedene </w:t>
      </w:r>
      <w:r w:rsidR="00600C8D" w:rsidRPr="00347A66">
        <w:rPr>
          <w:rFonts w:ascii="Arial" w:hAnsi="Arial" w:cs="Arial"/>
        </w:rPr>
        <w:t xml:space="preserve">komunikacije odnose na izvršenje predmetnih krivičnih djela, a njihov kontinuitet i obim upućuje na činjenicu da se radi o organizovanoj grupi sa jasno podijeljenim ulogama. </w:t>
      </w:r>
      <w:r w:rsidR="0040378B">
        <w:rPr>
          <w:rFonts w:ascii="Arial" w:hAnsi="Arial" w:cs="Arial"/>
        </w:rPr>
        <w:t>Tako i</w:t>
      </w:r>
      <w:r w:rsidR="002E0BEA" w:rsidRPr="00347A66">
        <w:rPr>
          <w:rFonts w:ascii="Arial" w:hAnsi="Arial" w:cs="Arial"/>
        </w:rPr>
        <w:t>z</w:t>
      </w:r>
      <w:r w:rsidR="0040378B">
        <w:rPr>
          <w:rFonts w:ascii="Arial" w:hAnsi="Arial" w:cs="Arial"/>
        </w:rPr>
        <w:t xml:space="preserve"> dostavljenog</w:t>
      </w:r>
      <w:r w:rsidR="002E0BEA" w:rsidRPr="00347A66">
        <w:rPr>
          <w:rFonts w:ascii="Arial" w:hAnsi="Arial" w:cs="Arial"/>
        </w:rPr>
        <w:t xml:space="preserve"> </w:t>
      </w:r>
      <w:r w:rsidR="0040378B">
        <w:rPr>
          <w:rFonts w:ascii="Arial" w:hAnsi="Arial" w:cs="Arial"/>
        </w:rPr>
        <w:t>I</w:t>
      </w:r>
      <w:r w:rsidR="002E0BEA" w:rsidRPr="00347A66">
        <w:rPr>
          <w:rFonts w:ascii="Arial" w:hAnsi="Arial" w:cs="Arial"/>
        </w:rPr>
        <w:t>zvještaja</w:t>
      </w:r>
      <w:r w:rsidR="0040378B">
        <w:rPr>
          <w:rFonts w:ascii="Arial" w:hAnsi="Arial" w:cs="Arial"/>
        </w:rPr>
        <w:t xml:space="preserve"> MUP RS, </w:t>
      </w:r>
      <w:r w:rsidR="002E0BEA" w:rsidRPr="00347A66">
        <w:rPr>
          <w:rFonts w:ascii="Arial" w:hAnsi="Arial" w:cs="Arial"/>
        </w:rPr>
        <w:t>broj I-03-230-65/21 od 23.06.2023. godine, proiz</w:t>
      </w:r>
      <w:r w:rsidR="0040378B">
        <w:rPr>
          <w:rFonts w:ascii="Arial" w:hAnsi="Arial" w:cs="Arial"/>
        </w:rPr>
        <w:t>i</w:t>
      </w:r>
      <w:r w:rsidR="002E0BEA" w:rsidRPr="00347A66">
        <w:rPr>
          <w:rFonts w:ascii="Arial" w:hAnsi="Arial" w:cs="Arial"/>
        </w:rPr>
        <w:t xml:space="preserve">lazi da je </w:t>
      </w:r>
      <w:r w:rsidR="0040378B">
        <w:rPr>
          <w:rFonts w:ascii="Arial" w:hAnsi="Arial" w:cs="Arial"/>
        </w:rPr>
        <w:t xml:space="preserve">optuženi </w:t>
      </w:r>
      <w:r w:rsidR="00250381" w:rsidRPr="00347A66">
        <w:rPr>
          <w:rFonts w:ascii="Arial" w:hAnsi="Arial" w:cs="Arial"/>
        </w:rPr>
        <w:t>G</w:t>
      </w:r>
      <w:r w:rsidR="00540AA6">
        <w:rPr>
          <w:rFonts w:ascii="Arial" w:hAnsi="Arial" w:cs="Arial"/>
        </w:rPr>
        <w:t>.</w:t>
      </w:r>
      <w:r w:rsidR="00250381" w:rsidRPr="00347A66">
        <w:rPr>
          <w:rFonts w:ascii="Arial" w:hAnsi="Arial" w:cs="Arial"/>
        </w:rPr>
        <w:t>O</w:t>
      </w:r>
      <w:r w:rsidR="00540AA6">
        <w:rPr>
          <w:rFonts w:ascii="Arial" w:hAnsi="Arial" w:cs="Arial"/>
        </w:rPr>
        <w:t>.</w:t>
      </w:r>
      <w:r w:rsidR="00250381" w:rsidRPr="00347A66">
        <w:rPr>
          <w:rFonts w:ascii="Arial" w:hAnsi="Arial" w:cs="Arial"/>
        </w:rPr>
        <w:t xml:space="preserve"> u komunikaciji sa drugim pripadnicima grupe</w:t>
      </w:r>
      <w:r w:rsidR="0040378B">
        <w:rPr>
          <w:rFonts w:ascii="Arial" w:hAnsi="Arial" w:cs="Arial"/>
        </w:rPr>
        <w:t>,</w:t>
      </w:r>
      <w:r w:rsidR="00250381" w:rsidRPr="00347A66">
        <w:rPr>
          <w:rFonts w:ascii="Arial" w:hAnsi="Arial" w:cs="Arial"/>
        </w:rPr>
        <w:t xml:space="preserve"> koristio „Sky Ecc“ aplikaciju sa uređaja identifikacionih oznaka </w:t>
      </w:r>
      <w:r w:rsidR="0040378B">
        <w:rPr>
          <w:rFonts w:ascii="Arial" w:hAnsi="Arial" w:cs="Arial"/>
        </w:rPr>
        <w:t>„</w:t>
      </w:r>
      <w:r w:rsidR="00250381" w:rsidRPr="00347A66">
        <w:rPr>
          <w:rFonts w:ascii="Arial" w:hAnsi="Arial" w:cs="Arial"/>
        </w:rPr>
        <w:t>BNI80M</w:t>
      </w:r>
      <w:r w:rsidR="0040378B">
        <w:rPr>
          <w:rFonts w:ascii="Arial" w:hAnsi="Arial" w:cs="Arial"/>
        </w:rPr>
        <w:t>“</w:t>
      </w:r>
      <w:r w:rsidR="00250381" w:rsidRPr="00347A66">
        <w:rPr>
          <w:rFonts w:ascii="Arial" w:hAnsi="Arial" w:cs="Arial"/>
        </w:rPr>
        <w:t xml:space="preserve">, </w:t>
      </w:r>
      <w:r w:rsidR="0040378B">
        <w:rPr>
          <w:rFonts w:ascii="Arial" w:hAnsi="Arial" w:cs="Arial"/>
        </w:rPr>
        <w:t>„</w:t>
      </w:r>
      <w:r w:rsidR="00250381" w:rsidRPr="00347A66">
        <w:rPr>
          <w:rFonts w:ascii="Arial" w:hAnsi="Arial" w:cs="Arial"/>
        </w:rPr>
        <w:t>RR5RUM</w:t>
      </w:r>
      <w:r w:rsidR="0040378B">
        <w:rPr>
          <w:rFonts w:ascii="Arial" w:hAnsi="Arial" w:cs="Arial"/>
        </w:rPr>
        <w:t>“</w:t>
      </w:r>
      <w:r w:rsidR="00250381" w:rsidRPr="00347A66">
        <w:rPr>
          <w:rFonts w:ascii="Arial" w:hAnsi="Arial" w:cs="Arial"/>
        </w:rPr>
        <w:t xml:space="preserve"> te </w:t>
      </w:r>
      <w:r w:rsidR="0040378B">
        <w:rPr>
          <w:rFonts w:ascii="Arial" w:hAnsi="Arial" w:cs="Arial"/>
        </w:rPr>
        <w:t>„</w:t>
      </w:r>
      <w:r w:rsidR="00250381" w:rsidRPr="00347A66">
        <w:rPr>
          <w:rFonts w:ascii="Arial" w:hAnsi="Arial" w:cs="Arial"/>
        </w:rPr>
        <w:t>45E6D7</w:t>
      </w:r>
      <w:r w:rsidR="0040378B">
        <w:rPr>
          <w:rFonts w:ascii="Arial" w:hAnsi="Arial" w:cs="Arial"/>
        </w:rPr>
        <w:t>“</w:t>
      </w:r>
      <w:r w:rsidR="00250381" w:rsidRPr="00347A66">
        <w:rPr>
          <w:rFonts w:ascii="Arial" w:hAnsi="Arial" w:cs="Arial"/>
        </w:rPr>
        <w:t>, te da je pored nadimka „P</w:t>
      </w:r>
      <w:r w:rsidR="00505A63">
        <w:rPr>
          <w:rFonts w:ascii="Arial" w:hAnsi="Arial" w:cs="Arial"/>
        </w:rPr>
        <w:t>.1</w:t>
      </w:r>
      <w:r w:rsidR="00250381" w:rsidRPr="00347A66">
        <w:rPr>
          <w:rFonts w:ascii="Arial" w:hAnsi="Arial" w:cs="Arial"/>
        </w:rPr>
        <w:t>“ i „P</w:t>
      </w:r>
      <w:r w:rsidR="00505A63">
        <w:rPr>
          <w:rFonts w:ascii="Arial" w:hAnsi="Arial" w:cs="Arial"/>
        </w:rPr>
        <w:t>.N.</w:t>
      </w:r>
      <w:r w:rsidR="00250381" w:rsidRPr="00347A66">
        <w:rPr>
          <w:rFonts w:ascii="Arial" w:hAnsi="Arial" w:cs="Arial"/>
        </w:rPr>
        <w:t xml:space="preserve">“ </w:t>
      </w:r>
      <w:r w:rsidR="0040378B">
        <w:rPr>
          <w:rFonts w:ascii="Arial" w:hAnsi="Arial" w:cs="Arial"/>
        </w:rPr>
        <w:t>koristio</w:t>
      </w:r>
      <w:r w:rsidR="00250381" w:rsidRPr="00347A66">
        <w:rPr>
          <w:rFonts w:ascii="Arial" w:hAnsi="Arial" w:cs="Arial"/>
        </w:rPr>
        <w:t xml:space="preserve"> i nadimak </w:t>
      </w:r>
      <w:r w:rsidR="00250381" w:rsidRPr="0040378B">
        <w:rPr>
          <w:rFonts w:ascii="Arial" w:hAnsi="Arial" w:cs="Arial"/>
        </w:rPr>
        <w:t>„P</w:t>
      </w:r>
      <w:r w:rsidR="00FF1E34">
        <w:rPr>
          <w:rFonts w:ascii="Arial" w:hAnsi="Arial" w:cs="Arial"/>
        </w:rPr>
        <w:t>.</w:t>
      </w:r>
      <w:r w:rsidR="00505A63">
        <w:rPr>
          <w:rFonts w:ascii="Arial" w:hAnsi="Arial" w:cs="Arial"/>
        </w:rPr>
        <w:t>2</w:t>
      </w:r>
      <w:r w:rsidR="00250381" w:rsidRPr="0040378B">
        <w:rPr>
          <w:rFonts w:ascii="Arial" w:hAnsi="Arial" w:cs="Arial"/>
        </w:rPr>
        <w:t>“</w:t>
      </w:r>
      <w:r w:rsidR="00715064">
        <w:rPr>
          <w:rFonts w:ascii="Arial" w:hAnsi="Arial" w:cs="Arial"/>
        </w:rPr>
        <w:t xml:space="preserve"> Također, iz Izvoda iz izvještaja Uprave za organizovani i teški kriminalitet, MUP RS, broj</w:t>
      </w:r>
      <w:r w:rsidR="00250381" w:rsidRPr="00347A66">
        <w:rPr>
          <w:rFonts w:ascii="Arial" w:hAnsi="Arial" w:cs="Arial"/>
        </w:rPr>
        <w:t xml:space="preserve"> 03-230-391/24 od</w:t>
      </w:r>
      <w:r w:rsidR="00D32458" w:rsidRPr="00347A66">
        <w:rPr>
          <w:rFonts w:ascii="Arial" w:hAnsi="Arial" w:cs="Arial"/>
        </w:rPr>
        <w:t xml:space="preserve"> </w:t>
      </w:r>
      <w:r w:rsidR="00250381" w:rsidRPr="00347A66">
        <w:rPr>
          <w:rFonts w:ascii="Arial" w:hAnsi="Arial" w:cs="Arial"/>
        </w:rPr>
        <w:t>09.08.2024. godine proiz</w:t>
      </w:r>
      <w:r w:rsidR="00715064">
        <w:rPr>
          <w:rFonts w:ascii="Arial" w:hAnsi="Arial" w:cs="Arial"/>
        </w:rPr>
        <w:t>i</w:t>
      </w:r>
      <w:r w:rsidR="00250381" w:rsidRPr="00347A66">
        <w:rPr>
          <w:rFonts w:ascii="Arial" w:hAnsi="Arial" w:cs="Arial"/>
        </w:rPr>
        <w:t>lazi</w:t>
      </w:r>
      <w:r w:rsidR="00FA55F7" w:rsidRPr="00347A66">
        <w:rPr>
          <w:rFonts w:ascii="Arial" w:hAnsi="Arial" w:cs="Arial"/>
        </w:rPr>
        <w:t xml:space="preserve"> </w:t>
      </w:r>
      <w:r w:rsidR="00715064">
        <w:rPr>
          <w:rFonts w:ascii="Arial" w:hAnsi="Arial" w:cs="Arial"/>
        </w:rPr>
        <w:t>da je optuženi</w:t>
      </w:r>
      <w:r w:rsidR="00250381" w:rsidRPr="00347A66">
        <w:rPr>
          <w:rFonts w:ascii="Arial" w:hAnsi="Arial" w:cs="Arial"/>
        </w:rPr>
        <w:t xml:space="preserve"> G</w:t>
      </w:r>
      <w:r w:rsidR="00540AA6">
        <w:rPr>
          <w:rFonts w:ascii="Arial" w:hAnsi="Arial" w:cs="Arial"/>
        </w:rPr>
        <w:t>.</w:t>
      </w:r>
      <w:r w:rsidR="00250381" w:rsidRPr="00347A66">
        <w:rPr>
          <w:rFonts w:ascii="Arial" w:hAnsi="Arial" w:cs="Arial"/>
        </w:rPr>
        <w:t>O</w:t>
      </w:r>
      <w:r w:rsidR="00540AA6">
        <w:rPr>
          <w:rFonts w:ascii="Arial" w:hAnsi="Arial" w:cs="Arial"/>
        </w:rPr>
        <w:t>.</w:t>
      </w:r>
      <w:r w:rsidR="00250381" w:rsidRPr="00347A66">
        <w:rPr>
          <w:rFonts w:ascii="Arial" w:hAnsi="Arial" w:cs="Arial"/>
        </w:rPr>
        <w:t xml:space="preserve"> u komunikaciji putem „Sky Ecc“ sa NN licem, korisnikom aplikacije pin oznake </w:t>
      </w:r>
      <w:r w:rsidR="00715064">
        <w:rPr>
          <w:rFonts w:ascii="Arial" w:hAnsi="Arial" w:cs="Arial"/>
        </w:rPr>
        <w:t>„</w:t>
      </w:r>
      <w:r w:rsidR="00250381" w:rsidRPr="00347A66">
        <w:rPr>
          <w:rFonts w:ascii="Arial" w:hAnsi="Arial" w:cs="Arial"/>
        </w:rPr>
        <w:t>P0982B</w:t>
      </w:r>
      <w:r w:rsidR="00715064">
        <w:rPr>
          <w:rFonts w:ascii="Arial" w:hAnsi="Arial" w:cs="Arial"/>
        </w:rPr>
        <w:t>“</w:t>
      </w:r>
      <w:r w:rsidR="00250381" w:rsidRPr="00347A66">
        <w:rPr>
          <w:rFonts w:ascii="Arial" w:hAnsi="Arial" w:cs="Arial"/>
        </w:rPr>
        <w:t xml:space="preserve">, istom saopštio da je dogovorio kupovinu opojne droge </w:t>
      </w:r>
      <w:r w:rsidR="00715064">
        <w:rPr>
          <w:rFonts w:ascii="Arial" w:hAnsi="Arial" w:cs="Arial"/>
        </w:rPr>
        <w:t>„</w:t>
      </w:r>
      <w:r w:rsidR="00250381" w:rsidRPr="00347A66">
        <w:rPr>
          <w:rFonts w:ascii="Arial" w:hAnsi="Arial" w:cs="Arial"/>
        </w:rPr>
        <w:t>kokain</w:t>
      </w:r>
      <w:r w:rsidR="00715064">
        <w:rPr>
          <w:rFonts w:ascii="Arial" w:hAnsi="Arial" w:cs="Arial"/>
        </w:rPr>
        <w:t>“</w:t>
      </w:r>
      <w:r w:rsidR="00250381" w:rsidRPr="00347A66">
        <w:rPr>
          <w:rFonts w:ascii="Arial" w:hAnsi="Arial" w:cs="Arial"/>
        </w:rPr>
        <w:t>, da će 2 kg biti njihova i da će vozač prilikom odlaska po opojnu drogu naići u P</w:t>
      </w:r>
      <w:r w:rsidR="00FF1E34">
        <w:rPr>
          <w:rFonts w:ascii="Arial" w:hAnsi="Arial" w:cs="Arial"/>
        </w:rPr>
        <w:t>.</w:t>
      </w:r>
      <w:r w:rsidR="00250381" w:rsidRPr="00347A66">
        <w:rPr>
          <w:rFonts w:ascii="Arial" w:hAnsi="Arial" w:cs="Arial"/>
        </w:rPr>
        <w:t xml:space="preserve">, kako bi mu </w:t>
      </w:r>
      <w:r w:rsidR="00715064">
        <w:rPr>
          <w:rFonts w:ascii="Arial" w:hAnsi="Arial" w:cs="Arial"/>
        </w:rPr>
        <w:t>optuženi</w:t>
      </w:r>
      <w:r w:rsidR="00250381" w:rsidRPr="00347A66">
        <w:rPr>
          <w:rFonts w:ascii="Arial" w:hAnsi="Arial" w:cs="Arial"/>
        </w:rPr>
        <w:t xml:space="preserve"> predao novac za </w:t>
      </w:r>
      <w:r w:rsidR="00715064">
        <w:rPr>
          <w:rFonts w:ascii="Arial" w:hAnsi="Arial" w:cs="Arial"/>
        </w:rPr>
        <w:t>navedenu količinu opojne droge „kokain“</w:t>
      </w:r>
      <w:r w:rsidR="00250381" w:rsidRPr="00347A66">
        <w:rPr>
          <w:rFonts w:ascii="Arial" w:hAnsi="Arial" w:cs="Arial"/>
        </w:rPr>
        <w:t xml:space="preserve">.  </w:t>
      </w:r>
      <w:r w:rsidR="00715064">
        <w:rPr>
          <w:rFonts w:ascii="Arial" w:hAnsi="Arial" w:cs="Arial"/>
        </w:rPr>
        <w:t>Također, u</w:t>
      </w:r>
      <w:r w:rsidR="00250381" w:rsidRPr="00347A66">
        <w:rPr>
          <w:rFonts w:ascii="Arial" w:hAnsi="Arial" w:cs="Arial"/>
        </w:rPr>
        <w:t xml:space="preserve"> komunikaciji koju je ostvario sa navedenim licem putem „Sky Ecc“ aplikacije, dana 03.03.2020. godine, </w:t>
      </w:r>
      <w:r w:rsidR="00715064">
        <w:rPr>
          <w:rFonts w:ascii="Arial" w:hAnsi="Arial" w:cs="Arial"/>
        </w:rPr>
        <w:t xml:space="preserve">optuženi </w:t>
      </w:r>
      <w:r w:rsidR="00250381" w:rsidRPr="00347A66">
        <w:rPr>
          <w:rFonts w:ascii="Arial" w:hAnsi="Arial" w:cs="Arial"/>
        </w:rPr>
        <w:t>G</w:t>
      </w:r>
      <w:r w:rsidR="00B72A96">
        <w:rPr>
          <w:rFonts w:ascii="Arial" w:hAnsi="Arial" w:cs="Arial"/>
        </w:rPr>
        <w:t>.</w:t>
      </w:r>
      <w:r w:rsidR="00250381" w:rsidRPr="00347A66">
        <w:rPr>
          <w:rFonts w:ascii="Arial" w:hAnsi="Arial" w:cs="Arial"/>
        </w:rPr>
        <w:t>O</w:t>
      </w:r>
      <w:r w:rsidR="00B72A96">
        <w:rPr>
          <w:rFonts w:ascii="Arial" w:hAnsi="Arial" w:cs="Arial"/>
        </w:rPr>
        <w:t>.</w:t>
      </w:r>
      <w:r w:rsidR="00250381" w:rsidRPr="00347A66">
        <w:rPr>
          <w:rFonts w:ascii="Arial" w:hAnsi="Arial" w:cs="Arial"/>
        </w:rPr>
        <w:t xml:space="preserve"> obavještava </w:t>
      </w:r>
      <w:r w:rsidR="00715064">
        <w:rPr>
          <w:rFonts w:ascii="Arial" w:hAnsi="Arial" w:cs="Arial"/>
        </w:rPr>
        <w:t xml:space="preserve">N lice </w:t>
      </w:r>
      <w:r w:rsidR="00250381" w:rsidRPr="00347A66">
        <w:rPr>
          <w:rFonts w:ascii="Arial" w:hAnsi="Arial" w:cs="Arial"/>
        </w:rPr>
        <w:t xml:space="preserve">da će narednog dana doći vozač, te da je potrebno da </w:t>
      </w:r>
      <w:r w:rsidR="00715064">
        <w:rPr>
          <w:rFonts w:ascii="Arial" w:hAnsi="Arial" w:cs="Arial"/>
        </w:rPr>
        <w:t>spremi</w:t>
      </w:r>
      <w:r w:rsidR="00250381" w:rsidRPr="00347A66">
        <w:rPr>
          <w:rFonts w:ascii="Arial" w:hAnsi="Arial" w:cs="Arial"/>
        </w:rPr>
        <w:t xml:space="preserve"> 60.000 </w:t>
      </w:r>
      <w:r>
        <w:rPr>
          <w:rFonts w:ascii="Arial" w:hAnsi="Arial" w:cs="Arial"/>
        </w:rPr>
        <w:t>eura</w:t>
      </w:r>
      <w:r w:rsidR="00250381" w:rsidRPr="00347A66">
        <w:rPr>
          <w:rFonts w:ascii="Arial" w:hAnsi="Arial" w:cs="Arial"/>
        </w:rPr>
        <w:t>.</w:t>
      </w:r>
    </w:p>
    <w:p w14:paraId="1432A7DB" w14:textId="77777777" w:rsidR="00250381" w:rsidRPr="00347A66" w:rsidRDefault="00250381" w:rsidP="00AD4958">
      <w:pPr>
        <w:spacing w:line="360" w:lineRule="auto"/>
        <w:ind w:left="-144" w:right="-288"/>
        <w:jc w:val="both"/>
        <w:rPr>
          <w:rFonts w:ascii="Arial" w:hAnsi="Arial" w:cs="Arial"/>
        </w:rPr>
      </w:pPr>
    </w:p>
    <w:p w14:paraId="765E343A" w14:textId="3F916F26" w:rsidR="00250381" w:rsidRPr="00347A66" w:rsidRDefault="00715064" w:rsidP="00AD4958">
      <w:pPr>
        <w:spacing w:line="360" w:lineRule="auto"/>
        <w:ind w:left="-144" w:right="-288"/>
        <w:jc w:val="both"/>
        <w:rPr>
          <w:rFonts w:ascii="Arial" w:hAnsi="Arial" w:cs="Arial"/>
        </w:rPr>
      </w:pPr>
      <w:r>
        <w:rPr>
          <w:rFonts w:ascii="Arial" w:hAnsi="Arial" w:cs="Arial"/>
        </w:rPr>
        <w:t>Nakon toga, na osnovu prikupljenih dokaza, tačnije i</w:t>
      </w:r>
      <w:r w:rsidR="00250381" w:rsidRPr="00347A66">
        <w:rPr>
          <w:rFonts w:ascii="Arial" w:hAnsi="Arial" w:cs="Arial"/>
        </w:rPr>
        <w:t>z navedenog izvještaja</w:t>
      </w:r>
      <w:r w:rsidR="00D32458" w:rsidRPr="00347A66">
        <w:rPr>
          <w:rFonts w:ascii="Arial" w:hAnsi="Arial" w:cs="Arial"/>
        </w:rPr>
        <w:t xml:space="preserve">, </w:t>
      </w:r>
      <w:r>
        <w:rPr>
          <w:rFonts w:ascii="Arial" w:hAnsi="Arial" w:cs="Arial"/>
        </w:rPr>
        <w:t>proizilazi da</w:t>
      </w:r>
      <w:r w:rsidR="00250381" w:rsidRPr="00347A66">
        <w:rPr>
          <w:rFonts w:ascii="Arial" w:hAnsi="Arial" w:cs="Arial"/>
        </w:rPr>
        <w:t xml:space="preserve"> je pripadnik grupe J</w:t>
      </w:r>
      <w:r w:rsidR="00B72A96">
        <w:rPr>
          <w:rFonts w:ascii="Arial" w:hAnsi="Arial" w:cs="Arial"/>
        </w:rPr>
        <w:t>.</w:t>
      </w:r>
      <w:r w:rsidR="00250381" w:rsidRPr="00347A66">
        <w:rPr>
          <w:rFonts w:ascii="Arial" w:hAnsi="Arial" w:cs="Arial"/>
        </w:rPr>
        <w:t>K</w:t>
      </w:r>
      <w:r w:rsidR="00B72A96">
        <w:rPr>
          <w:rFonts w:ascii="Arial" w:hAnsi="Arial" w:cs="Arial"/>
        </w:rPr>
        <w:t>.</w:t>
      </w:r>
      <w:r w:rsidR="00250381" w:rsidRPr="00347A66">
        <w:rPr>
          <w:rFonts w:ascii="Arial" w:hAnsi="Arial" w:cs="Arial"/>
        </w:rPr>
        <w:t xml:space="preserve"> shodno uputama B</w:t>
      </w:r>
      <w:r w:rsidR="00B72A96">
        <w:rPr>
          <w:rFonts w:ascii="Arial" w:hAnsi="Arial" w:cs="Arial"/>
        </w:rPr>
        <w:t>.</w:t>
      </w:r>
      <w:r w:rsidR="00250381" w:rsidRPr="00347A66">
        <w:rPr>
          <w:rFonts w:ascii="Arial" w:hAnsi="Arial" w:cs="Arial"/>
        </w:rPr>
        <w:t>C</w:t>
      </w:r>
      <w:r w:rsidR="00B72A96">
        <w:rPr>
          <w:rFonts w:ascii="Arial" w:hAnsi="Arial" w:cs="Arial"/>
        </w:rPr>
        <w:t>.</w:t>
      </w:r>
      <w:r w:rsidR="00250381" w:rsidRPr="00347A66">
        <w:rPr>
          <w:rFonts w:ascii="Arial" w:hAnsi="Arial" w:cs="Arial"/>
        </w:rPr>
        <w:t xml:space="preserve"> za trans</w:t>
      </w:r>
      <w:r>
        <w:rPr>
          <w:rFonts w:ascii="Arial" w:hAnsi="Arial" w:cs="Arial"/>
        </w:rPr>
        <w:t>port</w:t>
      </w:r>
      <w:r w:rsidR="00250381" w:rsidRPr="00347A66">
        <w:rPr>
          <w:rFonts w:ascii="Arial" w:hAnsi="Arial" w:cs="Arial"/>
        </w:rPr>
        <w:t xml:space="preserve"> </w:t>
      </w:r>
      <w:r>
        <w:rPr>
          <w:rFonts w:ascii="Arial" w:hAnsi="Arial" w:cs="Arial"/>
        </w:rPr>
        <w:t xml:space="preserve">opojne </w:t>
      </w:r>
      <w:r w:rsidR="00250381" w:rsidRPr="00347A66">
        <w:rPr>
          <w:rFonts w:ascii="Arial" w:hAnsi="Arial" w:cs="Arial"/>
        </w:rPr>
        <w:t>droge iz K</w:t>
      </w:r>
      <w:r w:rsidR="000E687E">
        <w:rPr>
          <w:rFonts w:ascii="Arial" w:hAnsi="Arial" w:cs="Arial"/>
        </w:rPr>
        <w:t xml:space="preserve">raljevine </w:t>
      </w:r>
      <w:r w:rsidR="00250381" w:rsidRPr="00347A66">
        <w:rPr>
          <w:rFonts w:ascii="Arial" w:hAnsi="Arial" w:cs="Arial"/>
        </w:rPr>
        <w:t>H</w:t>
      </w:r>
      <w:r w:rsidR="000E687E">
        <w:rPr>
          <w:rFonts w:ascii="Arial" w:hAnsi="Arial" w:cs="Arial"/>
        </w:rPr>
        <w:t>olandije</w:t>
      </w:r>
      <w:r w:rsidR="00250381" w:rsidRPr="00347A66">
        <w:rPr>
          <w:rFonts w:ascii="Arial" w:hAnsi="Arial" w:cs="Arial"/>
        </w:rPr>
        <w:t xml:space="preserve"> do R</w:t>
      </w:r>
      <w:r w:rsidR="000E687E">
        <w:rPr>
          <w:rFonts w:ascii="Arial" w:hAnsi="Arial" w:cs="Arial"/>
        </w:rPr>
        <w:t xml:space="preserve">epublike </w:t>
      </w:r>
      <w:r w:rsidR="00250381" w:rsidRPr="00347A66">
        <w:rPr>
          <w:rFonts w:ascii="Arial" w:hAnsi="Arial" w:cs="Arial"/>
        </w:rPr>
        <w:t>Č</w:t>
      </w:r>
      <w:r w:rsidR="000E687E">
        <w:rPr>
          <w:rFonts w:ascii="Arial" w:hAnsi="Arial" w:cs="Arial"/>
        </w:rPr>
        <w:t>eške</w:t>
      </w:r>
      <w:r w:rsidR="00250381" w:rsidRPr="00347A66">
        <w:rPr>
          <w:rFonts w:ascii="Arial" w:hAnsi="Arial" w:cs="Arial"/>
        </w:rPr>
        <w:t>, a potom do BiH, angažovao S</w:t>
      </w:r>
      <w:r w:rsidR="00B72A96">
        <w:rPr>
          <w:rFonts w:ascii="Arial" w:hAnsi="Arial" w:cs="Arial"/>
        </w:rPr>
        <w:t>.</w:t>
      </w:r>
      <w:r w:rsidR="00250381" w:rsidRPr="00347A66">
        <w:rPr>
          <w:rFonts w:ascii="Arial" w:hAnsi="Arial" w:cs="Arial"/>
        </w:rPr>
        <w:t>B</w:t>
      </w:r>
      <w:r w:rsidR="00B72A96">
        <w:rPr>
          <w:rFonts w:ascii="Arial" w:hAnsi="Arial" w:cs="Arial"/>
        </w:rPr>
        <w:t>.</w:t>
      </w:r>
      <w:r w:rsidR="00250381" w:rsidRPr="00347A66">
        <w:rPr>
          <w:rFonts w:ascii="Arial" w:hAnsi="Arial" w:cs="Arial"/>
        </w:rPr>
        <w:t xml:space="preserve"> i Ž</w:t>
      </w:r>
      <w:r w:rsidR="00B72A96">
        <w:rPr>
          <w:rFonts w:ascii="Arial" w:hAnsi="Arial" w:cs="Arial"/>
        </w:rPr>
        <w:t>.</w:t>
      </w:r>
      <w:r w:rsidR="00250381" w:rsidRPr="00347A66">
        <w:rPr>
          <w:rFonts w:ascii="Arial" w:hAnsi="Arial" w:cs="Arial"/>
        </w:rPr>
        <w:t>M</w:t>
      </w:r>
      <w:r w:rsidR="00B72A96">
        <w:rPr>
          <w:rFonts w:ascii="Arial" w:hAnsi="Arial" w:cs="Arial"/>
        </w:rPr>
        <w:t>.</w:t>
      </w:r>
      <w:r w:rsidR="00250381" w:rsidRPr="00347A66">
        <w:rPr>
          <w:rFonts w:ascii="Arial" w:hAnsi="Arial" w:cs="Arial"/>
        </w:rPr>
        <w:t xml:space="preserve"> koji su po </w:t>
      </w:r>
      <w:r>
        <w:rPr>
          <w:rFonts w:ascii="Arial" w:hAnsi="Arial" w:cs="Arial"/>
        </w:rPr>
        <w:t>njegovoj instrukciji,</w:t>
      </w:r>
      <w:r w:rsidR="00250381" w:rsidRPr="00347A66">
        <w:rPr>
          <w:rFonts w:ascii="Arial" w:hAnsi="Arial" w:cs="Arial"/>
        </w:rPr>
        <w:t xml:space="preserve"> dana 03.03.2020. godine prvo otišli do P</w:t>
      </w:r>
      <w:r w:rsidR="000E687E">
        <w:rPr>
          <w:rFonts w:ascii="Arial" w:hAnsi="Arial" w:cs="Arial"/>
        </w:rPr>
        <w:t>raga</w:t>
      </w:r>
      <w:r w:rsidR="00250381" w:rsidRPr="00347A66">
        <w:rPr>
          <w:rFonts w:ascii="Arial" w:hAnsi="Arial" w:cs="Arial"/>
        </w:rPr>
        <w:t xml:space="preserve"> u R</w:t>
      </w:r>
      <w:r w:rsidR="000E687E">
        <w:rPr>
          <w:rFonts w:ascii="Arial" w:hAnsi="Arial" w:cs="Arial"/>
        </w:rPr>
        <w:t xml:space="preserve">epublici </w:t>
      </w:r>
      <w:r w:rsidR="00250381" w:rsidRPr="00347A66">
        <w:rPr>
          <w:rFonts w:ascii="Arial" w:hAnsi="Arial" w:cs="Arial"/>
        </w:rPr>
        <w:t>Č</w:t>
      </w:r>
      <w:r w:rsidR="000E687E">
        <w:rPr>
          <w:rFonts w:ascii="Arial" w:hAnsi="Arial" w:cs="Arial"/>
        </w:rPr>
        <w:t>eškoj</w:t>
      </w:r>
      <w:r w:rsidR="00250381" w:rsidRPr="00347A66">
        <w:rPr>
          <w:rFonts w:ascii="Arial" w:hAnsi="Arial" w:cs="Arial"/>
        </w:rPr>
        <w:t xml:space="preserve">, gdje su dana 04.03.2020. godine od NN lica, korisnika „Sky Ecc“ aplikacije pin oznake </w:t>
      </w:r>
      <w:r>
        <w:rPr>
          <w:rFonts w:ascii="Arial" w:hAnsi="Arial" w:cs="Arial"/>
        </w:rPr>
        <w:t>„</w:t>
      </w:r>
      <w:r w:rsidR="00250381" w:rsidRPr="00347A66">
        <w:rPr>
          <w:rFonts w:ascii="Arial" w:hAnsi="Arial" w:cs="Arial"/>
        </w:rPr>
        <w:t>P0982B</w:t>
      </w:r>
      <w:r>
        <w:rPr>
          <w:rFonts w:ascii="Arial" w:hAnsi="Arial" w:cs="Arial"/>
        </w:rPr>
        <w:t>“</w:t>
      </w:r>
      <w:r w:rsidR="00250381" w:rsidRPr="00347A66">
        <w:rPr>
          <w:rFonts w:ascii="Arial" w:hAnsi="Arial" w:cs="Arial"/>
        </w:rPr>
        <w:t>, preuzeli dio novca, tačnije 60.000 EUR, nakon čega su nastavili put za H</w:t>
      </w:r>
      <w:r w:rsidR="000E687E">
        <w:rPr>
          <w:rFonts w:ascii="Arial" w:hAnsi="Arial" w:cs="Arial"/>
        </w:rPr>
        <w:t>olandiju</w:t>
      </w:r>
      <w:r w:rsidR="00250381" w:rsidRPr="00347A66">
        <w:rPr>
          <w:rFonts w:ascii="Arial" w:hAnsi="Arial" w:cs="Arial"/>
        </w:rPr>
        <w:t>, gdje su po instrukcijama J</w:t>
      </w:r>
      <w:r w:rsidR="00B72A96">
        <w:rPr>
          <w:rFonts w:ascii="Arial" w:hAnsi="Arial" w:cs="Arial"/>
        </w:rPr>
        <w:t>.</w:t>
      </w:r>
      <w:r w:rsidR="00250381" w:rsidRPr="00347A66">
        <w:rPr>
          <w:rFonts w:ascii="Arial" w:hAnsi="Arial" w:cs="Arial"/>
        </w:rPr>
        <w:t>K</w:t>
      </w:r>
      <w:r w:rsidR="00B72A96">
        <w:rPr>
          <w:rFonts w:ascii="Arial" w:hAnsi="Arial" w:cs="Arial"/>
        </w:rPr>
        <w:t>.</w:t>
      </w:r>
      <w:r w:rsidR="00250381" w:rsidRPr="00347A66">
        <w:rPr>
          <w:rFonts w:ascii="Arial" w:hAnsi="Arial" w:cs="Arial"/>
        </w:rPr>
        <w:t xml:space="preserve"> u </w:t>
      </w:r>
      <w:r>
        <w:rPr>
          <w:rFonts w:ascii="Arial" w:hAnsi="Arial" w:cs="Arial"/>
        </w:rPr>
        <w:t>gradu</w:t>
      </w:r>
      <w:r w:rsidR="00250381" w:rsidRPr="00347A66">
        <w:rPr>
          <w:rFonts w:ascii="Arial" w:hAnsi="Arial" w:cs="Arial"/>
        </w:rPr>
        <w:t xml:space="preserve"> M</w:t>
      </w:r>
      <w:r w:rsidR="000E687E">
        <w:rPr>
          <w:rFonts w:ascii="Arial" w:hAnsi="Arial" w:cs="Arial"/>
        </w:rPr>
        <w:t>astriht</w:t>
      </w:r>
      <w:r w:rsidR="00250381" w:rsidRPr="00347A66">
        <w:rPr>
          <w:rFonts w:ascii="Arial" w:hAnsi="Arial" w:cs="Arial"/>
        </w:rPr>
        <w:t xml:space="preserve"> NN licu predali iznos od 172.500 EUR i od istog preuzeli 6 kg opojne droge „kokain“. </w:t>
      </w:r>
      <w:r>
        <w:rPr>
          <w:rFonts w:ascii="Arial" w:hAnsi="Arial" w:cs="Arial"/>
        </w:rPr>
        <w:t>Također</w:t>
      </w:r>
      <w:r w:rsidR="00250381" w:rsidRPr="00347A66">
        <w:rPr>
          <w:rFonts w:ascii="Arial" w:hAnsi="Arial" w:cs="Arial"/>
        </w:rPr>
        <w:t>, iz analize sadržaja komunikacija ostvarenih putem „Sky Ecc“ aplikacije između J</w:t>
      </w:r>
      <w:r w:rsidR="00B72A96">
        <w:rPr>
          <w:rFonts w:ascii="Arial" w:hAnsi="Arial" w:cs="Arial"/>
        </w:rPr>
        <w:t>.</w:t>
      </w:r>
      <w:r w:rsidR="00250381" w:rsidRPr="00347A66">
        <w:rPr>
          <w:rFonts w:ascii="Arial" w:hAnsi="Arial" w:cs="Arial"/>
        </w:rPr>
        <w:t>K</w:t>
      </w:r>
      <w:r w:rsidR="00B72A96">
        <w:rPr>
          <w:rFonts w:ascii="Arial" w:hAnsi="Arial" w:cs="Arial"/>
        </w:rPr>
        <w:t>.</w:t>
      </w:r>
      <w:r w:rsidR="00250381" w:rsidRPr="00347A66">
        <w:rPr>
          <w:rFonts w:ascii="Arial" w:hAnsi="Arial" w:cs="Arial"/>
        </w:rPr>
        <w:t xml:space="preserve"> i </w:t>
      </w:r>
      <w:r>
        <w:rPr>
          <w:rFonts w:ascii="Arial" w:hAnsi="Arial" w:cs="Arial"/>
        </w:rPr>
        <w:t>optuženog G</w:t>
      </w:r>
      <w:r w:rsidR="00B72A96">
        <w:rPr>
          <w:rFonts w:ascii="Arial" w:hAnsi="Arial" w:cs="Arial"/>
        </w:rPr>
        <w:t>.</w:t>
      </w:r>
      <w:r w:rsidR="00250381" w:rsidRPr="00347A66">
        <w:rPr>
          <w:rFonts w:ascii="Arial" w:hAnsi="Arial" w:cs="Arial"/>
        </w:rPr>
        <w:t>O</w:t>
      </w:r>
      <w:r w:rsidR="00B72A96">
        <w:rPr>
          <w:rFonts w:ascii="Arial" w:hAnsi="Arial" w:cs="Arial"/>
        </w:rPr>
        <w:t>.</w:t>
      </w:r>
      <w:r w:rsidR="00250381" w:rsidRPr="00347A66">
        <w:rPr>
          <w:rFonts w:ascii="Arial" w:hAnsi="Arial" w:cs="Arial"/>
        </w:rPr>
        <w:t xml:space="preserve"> </w:t>
      </w:r>
      <w:r>
        <w:rPr>
          <w:rFonts w:ascii="Arial" w:hAnsi="Arial" w:cs="Arial"/>
        </w:rPr>
        <w:t>proizilazi da je</w:t>
      </w:r>
      <w:r w:rsidR="00250381" w:rsidRPr="00347A66">
        <w:rPr>
          <w:rFonts w:ascii="Arial" w:hAnsi="Arial" w:cs="Arial"/>
        </w:rPr>
        <w:t xml:space="preserve"> </w:t>
      </w:r>
      <w:r w:rsidR="00D32458" w:rsidRPr="00347A66">
        <w:rPr>
          <w:rFonts w:ascii="Arial" w:hAnsi="Arial" w:cs="Arial"/>
        </w:rPr>
        <w:t xml:space="preserve">upravo </w:t>
      </w:r>
      <w:r>
        <w:rPr>
          <w:rFonts w:ascii="Arial" w:hAnsi="Arial" w:cs="Arial"/>
        </w:rPr>
        <w:t>optuženi</w:t>
      </w:r>
      <w:r w:rsidR="00250381" w:rsidRPr="00347A66">
        <w:rPr>
          <w:rFonts w:ascii="Arial" w:hAnsi="Arial" w:cs="Arial"/>
        </w:rPr>
        <w:t xml:space="preserve"> organizovao primopredaju navedene opojne droge</w:t>
      </w:r>
      <w:r>
        <w:rPr>
          <w:rFonts w:ascii="Arial" w:hAnsi="Arial" w:cs="Arial"/>
        </w:rPr>
        <w:t>, te da, n</w:t>
      </w:r>
      <w:r w:rsidR="00250381" w:rsidRPr="00347A66">
        <w:rPr>
          <w:rFonts w:ascii="Arial" w:hAnsi="Arial" w:cs="Arial"/>
        </w:rPr>
        <w:t>akon što su S</w:t>
      </w:r>
      <w:r w:rsidR="00B72A96">
        <w:rPr>
          <w:rFonts w:ascii="Arial" w:hAnsi="Arial" w:cs="Arial"/>
        </w:rPr>
        <w:t>.</w:t>
      </w:r>
      <w:r w:rsidR="00250381" w:rsidRPr="00347A66">
        <w:rPr>
          <w:rFonts w:ascii="Arial" w:hAnsi="Arial" w:cs="Arial"/>
        </w:rPr>
        <w:t>B</w:t>
      </w:r>
      <w:r w:rsidR="00B72A96">
        <w:rPr>
          <w:rFonts w:ascii="Arial" w:hAnsi="Arial" w:cs="Arial"/>
        </w:rPr>
        <w:t>.</w:t>
      </w:r>
      <w:r w:rsidR="00250381" w:rsidRPr="00347A66">
        <w:rPr>
          <w:rFonts w:ascii="Arial" w:hAnsi="Arial" w:cs="Arial"/>
        </w:rPr>
        <w:t xml:space="preserve"> i Ž</w:t>
      </w:r>
      <w:r w:rsidR="00B72A96">
        <w:rPr>
          <w:rFonts w:ascii="Arial" w:hAnsi="Arial" w:cs="Arial"/>
        </w:rPr>
        <w:t>.</w:t>
      </w:r>
      <w:r w:rsidR="00250381" w:rsidRPr="00347A66">
        <w:rPr>
          <w:rFonts w:ascii="Arial" w:hAnsi="Arial" w:cs="Arial"/>
        </w:rPr>
        <w:t>M</w:t>
      </w:r>
      <w:r w:rsidR="00B72A96">
        <w:rPr>
          <w:rFonts w:ascii="Arial" w:hAnsi="Arial" w:cs="Arial"/>
        </w:rPr>
        <w:t>.</w:t>
      </w:r>
      <w:r w:rsidR="00250381" w:rsidRPr="00347A66">
        <w:rPr>
          <w:rFonts w:ascii="Arial" w:hAnsi="Arial" w:cs="Arial"/>
        </w:rPr>
        <w:t xml:space="preserve"> dana 05.03.2020. godine preuzeli 6 kg opojne droge „kokain“, isti prvo otišli u R</w:t>
      </w:r>
      <w:r w:rsidR="000E687E">
        <w:rPr>
          <w:rFonts w:ascii="Arial" w:hAnsi="Arial" w:cs="Arial"/>
        </w:rPr>
        <w:t xml:space="preserve">epubliku </w:t>
      </w:r>
      <w:r w:rsidR="00250381" w:rsidRPr="00347A66">
        <w:rPr>
          <w:rFonts w:ascii="Arial" w:hAnsi="Arial" w:cs="Arial"/>
        </w:rPr>
        <w:t>Č</w:t>
      </w:r>
      <w:r w:rsidR="000E687E">
        <w:rPr>
          <w:rFonts w:ascii="Arial" w:hAnsi="Arial" w:cs="Arial"/>
        </w:rPr>
        <w:t>ešku</w:t>
      </w:r>
      <w:r w:rsidR="00250381" w:rsidRPr="00347A66">
        <w:rPr>
          <w:rFonts w:ascii="Arial" w:hAnsi="Arial" w:cs="Arial"/>
        </w:rPr>
        <w:t>, u P</w:t>
      </w:r>
      <w:r w:rsidR="000E687E">
        <w:rPr>
          <w:rFonts w:ascii="Arial" w:hAnsi="Arial" w:cs="Arial"/>
        </w:rPr>
        <w:t>rag</w:t>
      </w:r>
      <w:r w:rsidR="00250381" w:rsidRPr="00347A66">
        <w:rPr>
          <w:rFonts w:ascii="Arial" w:hAnsi="Arial" w:cs="Arial"/>
        </w:rPr>
        <w:t xml:space="preserve">, gdje su korisniku „Sky Ecc“ aplikacije pin oznake </w:t>
      </w:r>
      <w:r w:rsidR="00957431">
        <w:rPr>
          <w:rFonts w:ascii="Arial" w:hAnsi="Arial" w:cs="Arial"/>
        </w:rPr>
        <w:t>„</w:t>
      </w:r>
      <w:r w:rsidR="00250381" w:rsidRPr="00347A66">
        <w:rPr>
          <w:rFonts w:ascii="Arial" w:hAnsi="Arial" w:cs="Arial"/>
        </w:rPr>
        <w:t>P0982B</w:t>
      </w:r>
      <w:r w:rsidR="00957431">
        <w:rPr>
          <w:rFonts w:ascii="Arial" w:hAnsi="Arial" w:cs="Arial"/>
        </w:rPr>
        <w:t>“</w:t>
      </w:r>
      <w:r w:rsidR="00250381" w:rsidRPr="00347A66">
        <w:rPr>
          <w:rFonts w:ascii="Arial" w:hAnsi="Arial" w:cs="Arial"/>
        </w:rPr>
        <w:t xml:space="preserve"> predali 2 kg kokaina, nakon čega su preostala 4 kg prevezli i na teritoriju BiH, gdje su je u konačnici predali J</w:t>
      </w:r>
      <w:r w:rsidR="00B72A96">
        <w:rPr>
          <w:rFonts w:ascii="Arial" w:hAnsi="Arial" w:cs="Arial"/>
        </w:rPr>
        <w:t>.</w:t>
      </w:r>
      <w:r w:rsidR="00250381" w:rsidRPr="00347A66">
        <w:rPr>
          <w:rFonts w:ascii="Arial" w:hAnsi="Arial" w:cs="Arial"/>
        </w:rPr>
        <w:t>K</w:t>
      </w:r>
      <w:r w:rsidR="00B72A96">
        <w:rPr>
          <w:rFonts w:ascii="Arial" w:hAnsi="Arial" w:cs="Arial"/>
        </w:rPr>
        <w:t>.</w:t>
      </w:r>
      <w:r w:rsidR="00250381" w:rsidRPr="00347A66">
        <w:rPr>
          <w:rFonts w:ascii="Arial" w:hAnsi="Arial" w:cs="Arial"/>
        </w:rPr>
        <w:t xml:space="preserve"> i B</w:t>
      </w:r>
      <w:r w:rsidR="00B72A96">
        <w:rPr>
          <w:rFonts w:ascii="Arial" w:hAnsi="Arial" w:cs="Arial"/>
        </w:rPr>
        <w:t>.</w:t>
      </w:r>
      <w:r w:rsidR="00250381" w:rsidRPr="00347A66">
        <w:rPr>
          <w:rFonts w:ascii="Arial" w:hAnsi="Arial" w:cs="Arial"/>
        </w:rPr>
        <w:t xml:space="preserve">C. </w:t>
      </w:r>
    </w:p>
    <w:p w14:paraId="287CFCD5" w14:textId="77777777" w:rsidR="00560857" w:rsidRPr="00347A66" w:rsidRDefault="00560857" w:rsidP="00AD4958">
      <w:pPr>
        <w:spacing w:line="360" w:lineRule="auto"/>
        <w:ind w:left="-144" w:right="-288"/>
        <w:jc w:val="both"/>
        <w:rPr>
          <w:rFonts w:ascii="Arial" w:hAnsi="Arial" w:cs="Arial"/>
          <w:color w:val="FF0000"/>
        </w:rPr>
      </w:pPr>
    </w:p>
    <w:p w14:paraId="68AEF8E0" w14:textId="1CD56EE5" w:rsidR="00560857" w:rsidRDefault="00957431">
      <w:pPr>
        <w:spacing w:line="360" w:lineRule="auto"/>
        <w:ind w:left="-144" w:right="-288"/>
        <w:jc w:val="both"/>
        <w:outlineLvl w:val="0"/>
        <w:rPr>
          <w:rFonts w:ascii="Arial" w:hAnsi="Arial" w:cs="Arial"/>
        </w:rPr>
      </w:pPr>
      <w:r w:rsidRPr="00957431">
        <w:rPr>
          <w:rFonts w:ascii="Arial" w:hAnsi="Arial" w:cs="Arial"/>
        </w:rPr>
        <w:t xml:space="preserve">Dakle, sadržaj dostavljenih dokaza, po ocjeni </w:t>
      </w:r>
      <w:r>
        <w:rPr>
          <w:rFonts w:ascii="Arial" w:hAnsi="Arial" w:cs="Arial"/>
        </w:rPr>
        <w:t>V</w:t>
      </w:r>
      <w:r w:rsidRPr="00957431">
        <w:rPr>
          <w:rFonts w:ascii="Arial" w:hAnsi="Arial" w:cs="Arial"/>
        </w:rPr>
        <w:t>ijeća, potvrđuje postojanje osnovane sumnje</w:t>
      </w:r>
      <w:r>
        <w:rPr>
          <w:rFonts w:ascii="Arial" w:hAnsi="Arial" w:cs="Arial"/>
        </w:rPr>
        <w:t xml:space="preserve"> </w:t>
      </w:r>
      <w:r w:rsidRPr="00957431">
        <w:rPr>
          <w:rFonts w:ascii="Arial" w:hAnsi="Arial" w:cs="Arial"/>
        </w:rPr>
        <w:t>da</w:t>
      </w:r>
      <w:r>
        <w:rPr>
          <w:rFonts w:ascii="Arial" w:hAnsi="Arial" w:cs="Arial"/>
        </w:rPr>
        <w:t xml:space="preserve"> </w:t>
      </w:r>
      <w:r w:rsidRPr="00957431">
        <w:rPr>
          <w:rFonts w:ascii="Arial" w:hAnsi="Arial" w:cs="Arial"/>
        </w:rPr>
        <w:t xml:space="preserve">je optuženi počinio krivično djelo </w:t>
      </w:r>
      <w:r w:rsidR="0059360C" w:rsidRPr="00347A66">
        <w:rPr>
          <w:rFonts w:ascii="Arial" w:hAnsi="Arial" w:cs="Arial"/>
        </w:rPr>
        <w:t>Organizovani kriminal iz člana 250. stav 2. KZ</w:t>
      </w:r>
      <w:r w:rsidR="0059360C">
        <w:rPr>
          <w:rFonts w:ascii="Arial" w:hAnsi="Arial" w:cs="Arial"/>
        </w:rPr>
        <w:t xml:space="preserve"> </w:t>
      </w:r>
      <w:r w:rsidR="0059360C" w:rsidRPr="00347A66">
        <w:rPr>
          <w:rFonts w:ascii="Arial" w:hAnsi="Arial" w:cs="Arial"/>
        </w:rPr>
        <w:t xml:space="preserve">BiH, u vezi sa krivičnim djelom Neovlašteni promet opojnim drogama iz člana 195. stav 1. </w:t>
      </w:r>
      <w:r w:rsidR="0059360C">
        <w:rPr>
          <w:rFonts w:ascii="Arial" w:hAnsi="Arial" w:cs="Arial"/>
        </w:rPr>
        <w:t>istog Zakona kako je to opisano u potvrđenoj optužnici</w:t>
      </w:r>
      <w:r w:rsidR="00CF2B1C">
        <w:rPr>
          <w:rFonts w:ascii="Arial" w:hAnsi="Arial" w:cs="Arial"/>
        </w:rPr>
        <w:t xml:space="preserve"> </w:t>
      </w:r>
      <w:r>
        <w:rPr>
          <w:rFonts w:ascii="Arial" w:hAnsi="Arial" w:cs="Arial"/>
        </w:rPr>
        <w:t>čime</w:t>
      </w:r>
      <w:r w:rsidRPr="00957431">
        <w:rPr>
          <w:rFonts w:ascii="Arial" w:hAnsi="Arial" w:cs="Arial"/>
        </w:rPr>
        <w:t xml:space="preserve"> je opšti uslov za produženje mjere pritvora u ovom procesnom momentu ispunjen.</w:t>
      </w:r>
    </w:p>
    <w:p w14:paraId="704E535C" w14:textId="77777777" w:rsidR="00AC2B11" w:rsidRPr="00347A66" w:rsidRDefault="00AC2B11" w:rsidP="00061C52">
      <w:pPr>
        <w:spacing w:line="360" w:lineRule="auto"/>
        <w:ind w:left="-144" w:right="-288"/>
        <w:jc w:val="both"/>
        <w:outlineLvl w:val="0"/>
        <w:rPr>
          <w:rFonts w:ascii="Arial" w:eastAsia="Arial Unicode MS" w:hAnsi="Arial" w:cs="Arial"/>
          <w:b/>
          <w:bCs/>
          <w:iCs/>
        </w:rPr>
      </w:pPr>
    </w:p>
    <w:p w14:paraId="7CF990F3" w14:textId="335196D3" w:rsidR="00957431" w:rsidRDefault="00957431" w:rsidP="00957431">
      <w:pPr>
        <w:widowControl w:val="0"/>
        <w:autoSpaceDE w:val="0"/>
        <w:autoSpaceDN w:val="0"/>
        <w:adjustRightInd w:val="0"/>
        <w:spacing w:line="360" w:lineRule="auto"/>
        <w:ind w:left="-144" w:right="-288"/>
        <w:jc w:val="both"/>
        <w:rPr>
          <w:rFonts w:ascii="Arial" w:hAnsi="Arial" w:cs="Arial"/>
        </w:rPr>
      </w:pPr>
      <w:r w:rsidRPr="00957431">
        <w:rPr>
          <w:rFonts w:ascii="Arial" w:hAnsi="Arial" w:cs="Arial"/>
        </w:rPr>
        <w:t xml:space="preserve">Nakon što je </w:t>
      </w:r>
      <w:r>
        <w:rPr>
          <w:rFonts w:ascii="Arial" w:hAnsi="Arial" w:cs="Arial"/>
        </w:rPr>
        <w:t>Vijeće utvrdilo</w:t>
      </w:r>
      <w:r w:rsidRPr="00957431">
        <w:rPr>
          <w:rFonts w:ascii="Arial" w:hAnsi="Arial" w:cs="Arial"/>
        </w:rPr>
        <w:t xml:space="preserve"> postojanje </w:t>
      </w:r>
      <w:r w:rsidR="0095185A">
        <w:rPr>
          <w:rFonts w:ascii="Arial" w:hAnsi="Arial" w:cs="Arial"/>
        </w:rPr>
        <w:t xml:space="preserve">opšteg uslova </w:t>
      </w:r>
      <w:r w:rsidRPr="00957431">
        <w:rPr>
          <w:rFonts w:ascii="Arial" w:hAnsi="Arial" w:cs="Arial"/>
        </w:rPr>
        <w:t xml:space="preserve">za produženje mjere pritvora, odnosno osnovane sumnje, </w:t>
      </w:r>
      <w:r>
        <w:rPr>
          <w:rFonts w:ascii="Arial" w:hAnsi="Arial" w:cs="Arial"/>
        </w:rPr>
        <w:t>Vijeće</w:t>
      </w:r>
      <w:r w:rsidRPr="00957431">
        <w:rPr>
          <w:rFonts w:ascii="Arial" w:hAnsi="Arial" w:cs="Arial"/>
        </w:rPr>
        <w:t xml:space="preserve"> se dalje upusti</w:t>
      </w:r>
      <w:r>
        <w:rPr>
          <w:rFonts w:ascii="Arial" w:hAnsi="Arial" w:cs="Arial"/>
        </w:rPr>
        <w:t>l</w:t>
      </w:r>
      <w:r w:rsidRPr="00957431">
        <w:rPr>
          <w:rFonts w:ascii="Arial" w:hAnsi="Arial" w:cs="Arial"/>
        </w:rPr>
        <w:t xml:space="preserve">o u ispitivanje postojanja posebnih pritvorskih razloga zbog kojih je i predloženo </w:t>
      </w:r>
      <w:r>
        <w:rPr>
          <w:rFonts w:ascii="Arial" w:hAnsi="Arial" w:cs="Arial"/>
        </w:rPr>
        <w:t>produženje</w:t>
      </w:r>
      <w:r w:rsidRPr="00957431">
        <w:rPr>
          <w:rFonts w:ascii="Arial" w:hAnsi="Arial" w:cs="Arial"/>
        </w:rPr>
        <w:t xml:space="preserve"> pritvora prema optuženom.</w:t>
      </w:r>
      <w:r>
        <w:rPr>
          <w:rFonts w:ascii="Arial" w:hAnsi="Arial" w:cs="Arial"/>
        </w:rPr>
        <w:t xml:space="preserve"> </w:t>
      </w:r>
      <w:r w:rsidRPr="00957431">
        <w:rPr>
          <w:rFonts w:ascii="Arial" w:hAnsi="Arial" w:cs="Arial"/>
        </w:rPr>
        <w:t xml:space="preserve">Kada je u pitanju opasnost od bjekstva optuženog </w:t>
      </w:r>
      <w:r>
        <w:rPr>
          <w:rFonts w:ascii="Arial" w:hAnsi="Arial" w:cs="Arial"/>
        </w:rPr>
        <w:t>G</w:t>
      </w:r>
      <w:r w:rsidR="00B72A96">
        <w:rPr>
          <w:rFonts w:ascii="Arial" w:hAnsi="Arial" w:cs="Arial"/>
        </w:rPr>
        <w:t>.</w:t>
      </w:r>
      <w:r>
        <w:rPr>
          <w:rFonts w:ascii="Arial" w:hAnsi="Arial" w:cs="Arial"/>
        </w:rPr>
        <w:t>O</w:t>
      </w:r>
      <w:r w:rsidR="00B72A96">
        <w:rPr>
          <w:rFonts w:ascii="Arial" w:hAnsi="Arial" w:cs="Arial"/>
        </w:rPr>
        <w:t>.</w:t>
      </w:r>
      <w:r w:rsidRPr="00957431">
        <w:rPr>
          <w:rFonts w:ascii="Arial" w:hAnsi="Arial" w:cs="Arial"/>
        </w:rPr>
        <w:t xml:space="preserve"> kao posebnog pritvorskog razloga iz </w:t>
      </w:r>
      <w:r w:rsidRPr="00957431">
        <w:rPr>
          <w:rFonts w:ascii="Arial" w:hAnsi="Arial" w:cs="Arial"/>
          <w:b/>
          <w:bCs/>
        </w:rPr>
        <w:t>člana 132. stav 1. tačka a) ZKP BiH</w:t>
      </w:r>
      <w:r w:rsidRPr="00957431">
        <w:rPr>
          <w:rFonts w:ascii="Arial" w:hAnsi="Arial" w:cs="Arial"/>
        </w:rPr>
        <w:t xml:space="preserve">, </w:t>
      </w:r>
      <w:r>
        <w:rPr>
          <w:rFonts w:ascii="Arial" w:hAnsi="Arial" w:cs="Arial"/>
        </w:rPr>
        <w:t>Vijeće s</w:t>
      </w:r>
      <w:r w:rsidRPr="00957431">
        <w:rPr>
          <w:rFonts w:ascii="Arial" w:hAnsi="Arial" w:cs="Arial"/>
        </w:rPr>
        <w:t xml:space="preserve">matra da postoji dovoljno dokaza koji potkrijepljuju pomenutu opasnost. Naime, kako je to propisano navedenom odredbom, kada postoji osnovana sumnja da je određena osoba počinila krivično djelo, a koja je u konkretnom slučaju utvrđena samim činom potvrđivanja optužnice i prethodno obrazložena, prema istoj osobi može se odrediti pritvor ako se krije ili ako postoje druge okolnosti koje ukazuju na opasnost od bjekstva. </w:t>
      </w:r>
    </w:p>
    <w:p w14:paraId="4D7B533B" w14:textId="77777777" w:rsidR="00957431" w:rsidRPr="00957431" w:rsidRDefault="00957431" w:rsidP="00957431">
      <w:pPr>
        <w:widowControl w:val="0"/>
        <w:autoSpaceDE w:val="0"/>
        <w:autoSpaceDN w:val="0"/>
        <w:adjustRightInd w:val="0"/>
        <w:spacing w:line="360" w:lineRule="auto"/>
        <w:ind w:left="-144" w:right="-288"/>
        <w:jc w:val="both"/>
        <w:rPr>
          <w:rFonts w:ascii="Arial" w:hAnsi="Arial" w:cs="Arial"/>
        </w:rPr>
      </w:pPr>
    </w:p>
    <w:p w14:paraId="7DAD4B49" w14:textId="30D2111B" w:rsidR="00957431" w:rsidRPr="00347A66" w:rsidRDefault="00957431" w:rsidP="00957431">
      <w:pPr>
        <w:widowControl w:val="0"/>
        <w:autoSpaceDE w:val="0"/>
        <w:autoSpaceDN w:val="0"/>
        <w:adjustRightInd w:val="0"/>
        <w:spacing w:line="360" w:lineRule="auto"/>
        <w:ind w:left="-144" w:right="-288"/>
        <w:jc w:val="both"/>
        <w:rPr>
          <w:rFonts w:ascii="Arial" w:hAnsi="Arial" w:cs="Arial"/>
        </w:rPr>
      </w:pPr>
      <w:r w:rsidRPr="00957431">
        <w:rPr>
          <w:rFonts w:ascii="Arial" w:hAnsi="Arial" w:cs="Arial"/>
        </w:rPr>
        <w:t xml:space="preserve">S tim u vezi, </w:t>
      </w:r>
      <w:r>
        <w:rPr>
          <w:rFonts w:ascii="Arial" w:hAnsi="Arial" w:cs="Arial"/>
        </w:rPr>
        <w:t>Vijeće</w:t>
      </w:r>
      <w:r w:rsidRPr="00957431">
        <w:rPr>
          <w:rFonts w:ascii="Arial" w:hAnsi="Arial" w:cs="Arial"/>
        </w:rPr>
        <w:t xml:space="preserve"> ističe da, iako odredba člana 132. stav 1. tačka a) ZKP BiH izričito ne propisuje koje se to okolnosti imaju uzeti kao odlučne prilikom ocjene postojanja opasnosti od bjekstva, sudska praksa je ukazala da se, u svakom pojedinom slučaju, moraju cijeniti određene okolnosti i činjenice vezane za ponašanje osumnjičenih/optuženih prije i poslije izvršenja krivičnog djela ili nakon pokretanja krivičnog postupka, te lična svojstva na osnovu kojih se može izvesti zaključak da će se osumnjičeni/optuženi kriti ili da će pobjeći.</w:t>
      </w:r>
      <w:r>
        <w:rPr>
          <w:rFonts w:ascii="Arial" w:hAnsi="Arial" w:cs="Arial"/>
        </w:rPr>
        <w:t xml:space="preserve"> </w:t>
      </w:r>
      <w:r w:rsidRPr="00347A66">
        <w:rPr>
          <w:rFonts w:ascii="Arial" w:hAnsi="Arial" w:cs="Arial"/>
        </w:rPr>
        <w:t>Lična svojstva, objektivne okolnosti ili ponašanje osumnjičenih</w:t>
      </w:r>
      <w:r>
        <w:rPr>
          <w:rFonts w:ascii="Arial" w:hAnsi="Arial" w:cs="Arial"/>
        </w:rPr>
        <w:t>/optuženih,</w:t>
      </w:r>
      <w:r w:rsidRPr="00347A66">
        <w:rPr>
          <w:rFonts w:ascii="Arial" w:hAnsi="Arial" w:cs="Arial"/>
        </w:rPr>
        <w:t xml:space="preserve"> prema opštem životnom iskustvu, mogu ukazati na postojanje opasnosti od bjekstva (kao što su okolnosti da je osumnjičeni/optuženi zaista u bjekstvu, da nema stalno prebivalište ili boravište, stalno mijenja adresu, da je strani državljanin, držanje osumnjičene/optužene osobe nakon izvršenja djela za koje se tereti, težina krivičnih djela za koja se tereti, visina zaprijećene kazne), a koje okolnosti se najčešće prihvataju kao dokaz postojanja opasnosti od bjekstva. Navedeno je potkrijepljeno i praksom ESLJP, koji je zauzeo stav da</w:t>
      </w:r>
      <w:r>
        <w:rPr>
          <w:rFonts w:ascii="Arial" w:hAnsi="Arial" w:cs="Arial"/>
        </w:rPr>
        <w:t>,</w:t>
      </w:r>
      <w:r w:rsidRPr="00347A66">
        <w:rPr>
          <w:rFonts w:ascii="Arial" w:hAnsi="Arial" w:cs="Arial"/>
        </w:rPr>
        <w:t xml:space="preserve"> od </w:t>
      </w:r>
      <w:r w:rsidRPr="00957431">
        <w:rPr>
          <w:rFonts w:ascii="Arial" w:hAnsi="Arial" w:cs="Arial"/>
        </w:rPr>
        <w:t>drugih okolnosti</w:t>
      </w:r>
      <w:r w:rsidRPr="00347A66">
        <w:rPr>
          <w:rFonts w:ascii="Arial" w:hAnsi="Arial" w:cs="Arial"/>
        </w:rPr>
        <w:t xml:space="preserve"> koje ukazuju na opasnost od bjekstva osumnjičenih/optuženih iz člana 132. stav 1. tačka a) ZKP BiH, treba imati u vidu i „</w:t>
      </w:r>
      <w:r w:rsidRPr="00347A66">
        <w:rPr>
          <w:rFonts w:ascii="Arial" w:hAnsi="Arial" w:cs="Arial"/>
          <w:i/>
          <w:iCs/>
        </w:rPr>
        <w:t xml:space="preserve">karakter umiješane osobe, njen moral, njena imovina, veze sa državom u kojoj je osoba optužena, kao i </w:t>
      </w:r>
      <w:r w:rsidRPr="00347A66">
        <w:rPr>
          <w:rFonts w:ascii="Arial" w:hAnsi="Arial" w:cs="Arial"/>
          <w:i/>
          <w:iCs/>
        </w:rPr>
        <w:lastRenderedPageBreak/>
        <w:t>njeni međunarodni kontakti.</w:t>
      </w:r>
      <w:r w:rsidRPr="00347A66">
        <w:rPr>
          <w:rFonts w:ascii="Arial" w:hAnsi="Arial" w:cs="Arial"/>
          <w:i/>
          <w:iCs/>
          <w:vertAlign w:val="superscript"/>
        </w:rPr>
        <w:t xml:space="preserve"> </w:t>
      </w:r>
      <w:r w:rsidRPr="00347A66">
        <w:rPr>
          <w:rFonts w:ascii="Arial" w:hAnsi="Arial" w:cs="Arial"/>
          <w:i/>
          <w:iCs/>
          <w:vertAlign w:val="superscript"/>
        </w:rPr>
        <w:footnoteReference w:id="1"/>
      </w:r>
      <w:r w:rsidRPr="00347A66">
        <w:rPr>
          <w:rFonts w:ascii="Arial" w:hAnsi="Arial" w:cs="Arial"/>
        </w:rPr>
        <w:t xml:space="preserve">“   </w:t>
      </w:r>
    </w:p>
    <w:p w14:paraId="278BE457" w14:textId="77777777" w:rsidR="008B6026" w:rsidRPr="00347A66" w:rsidRDefault="008B6026" w:rsidP="00957431">
      <w:pPr>
        <w:spacing w:line="360" w:lineRule="auto"/>
        <w:ind w:right="-288"/>
        <w:jc w:val="both"/>
        <w:rPr>
          <w:rFonts w:ascii="Arial" w:hAnsi="Arial" w:cs="Arial"/>
          <w:color w:val="FF0000"/>
        </w:rPr>
      </w:pPr>
    </w:p>
    <w:p w14:paraId="2D2A5A5A" w14:textId="668B2E83" w:rsidR="008B6026" w:rsidRPr="00957431" w:rsidRDefault="008B6026" w:rsidP="00957431">
      <w:pPr>
        <w:spacing w:line="360" w:lineRule="auto"/>
        <w:ind w:left="-144" w:right="-288"/>
        <w:jc w:val="both"/>
        <w:rPr>
          <w:rFonts w:ascii="Arial" w:hAnsi="Arial" w:cs="Arial"/>
        </w:rPr>
      </w:pPr>
      <w:r w:rsidRPr="00801BF0">
        <w:rPr>
          <w:rFonts w:ascii="Arial" w:hAnsi="Arial" w:cs="Arial"/>
        </w:rPr>
        <w:t xml:space="preserve">Imajući u vidu navedene kriterije, Vijeće je </w:t>
      </w:r>
      <w:r w:rsidR="00957431" w:rsidRPr="00801BF0">
        <w:rPr>
          <w:rFonts w:ascii="Arial" w:hAnsi="Arial" w:cs="Arial"/>
        </w:rPr>
        <w:t>prvenstveno cijenilo činjenicu</w:t>
      </w:r>
      <w:r w:rsidR="00040B3F" w:rsidRPr="00801BF0">
        <w:rPr>
          <w:rFonts w:ascii="Arial" w:hAnsi="Arial" w:cs="Arial"/>
        </w:rPr>
        <w:t xml:space="preserve"> da </w:t>
      </w:r>
      <w:r w:rsidR="00957431" w:rsidRPr="00801BF0">
        <w:rPr>
          <w:rFonts w:ascii="Arial" w:hAnsi="Arial" w:cs="Arial"/>
        </w:rPr>
        <w:t>optuženi</w:t>
      </w:r>
      <w:r w:rsidR="00040B3F" w:rsidRPr="00801BF0">
        <w:rPr>
          <w:rFonts w:ascii="Arial" w:hAnsi="Arial" w:cs="Arial"/>
        </w:rPr>
        <w:t xml:space="preserve"> posjeduje isključivo državljanstvo </w:t>
      </w:r>
      <w:r w:rsidR="00957431" w:rsidRPr="00801BF0">
        <w:rPr>
          <w:rFonts w:ascii="Arial" w:hAnsi="Arial" w:cs="Arial"/>
        </w:rPr>
        <w:t>R</w:t>
      </w:r>
      <w:r w:rsidR="000E687E">
        <w:rPr>
          <w:rFonts w:ascii="Arial" w:hAnsi="Arial" w:cs="Arial"/>
        </w:rPr>
        <w:t>epublike</w:t>
      </w:r>
      <w:r w:rsidR="00957431" w:rsidRPr="00801BF0">
        <w:rPr>
          <w:rFonts w:ascii="Arial" w:hAnsi="Arial" w:cs="Arial"/>
        </w:rPr>
        <w:t xml:space="preserve"> </w:t>
      </w:r>
      <w:r w:rsidR="00040B3F" w:rsidRPr="00801BF0">
        <w:rPr>
          <w:rFonts w:ascii="Arial" w:hAnsi="Arial" w:cs="Arial"/>
        </w:rPr>
        <w:t>C</w:t>
      </w:r>
      <w:r w:rsidR="000E687E">
        <w:rPr>
          <w:rFonts w:ascii="Arial" w:hAnsi="Arial" w:cs="Arial"/>
        </w:rPr>
        <w:t xml:space="preserve">rne </w:t>
      </w:r>
      <w:r w:rsidR="00040B3F" w:rsidRPr="00801BF0">
        <w:rPr>
          <w:rFonts w:ascii="Arial" w:hAnsi="Arial" w:cs="Arial"/>
        </w:rPr>
        <w:t>G</w:t>
      </w:r>
      <w:r w:rsidR="000E687E">
        <w:rPr>
          <w:rFonts w:ascii="Arial" w:hAnsi="Arial" w:cs="Arial"/>
        </w:rPr>
        <w:t>ore</w:t>
      </w:r>
      <w:r w:rsidR="00040B3F" w:rsidRPr="00801BF0">
        <w:rPr>
          <w:rFonts w:ascii="Arial" w:hAnsi="Arial" w:cs="Arial"/>
        </w:rPr>
        <w:t>, da ime prijavljeno prebivalište u Č</w:t>
      </w:r>
      <w:r w:rsidR="000E687E">
        <w:rPr>
          <w:rFonts w:ascii="Arial" w:hAnsi="Arial" w:cs="Arial"/>
        </w:rPr>
        <w:t xml:space="preserve">eškoj </w:t>
      </w:r>
      <w:r w:rsidR="00040B3F" w:rsidRPr="00801BF0">
        <w:rPr>
          <w:rFonts w:ascii="Arial" w:hAnsi="Arial" w:cs="Arial"/>
        </w:rPr>
        <w:t>R</w:t>
      </w:r>
      <w:r w:rsidR="000E687E">
        <w:rPr>
          <w:rFonts w:ascii="Arial" w:hAnsi="Arial" w:cs="Arial"/>
        </w:rPr>
        <w:t>epublici</w:t>
      </w:r>
      <w:r w:rsidR="00040B3F" w:rsidRPr="00801BF0">
        <w:rPr>
          <w:rFonts w:ascii="Arial" w:hAnsi="Arial" w:cs="Arial"/>
        </w:rPr>
        <w:t>, da nema nikakve veze sa B</w:t>
      </w:r>
      <w:r w:rsidR="000E687E">
        <w:rPr>
          <w:rFonts w:ascii="Arial" w:hAnsi="Arial" w:cs="Arial"/>
        </w:rPr>
        <w:t>i</w:t>
      </w:r>
      <w:r w:rsidR="00040B3F" w:rsidRPr="00801BF0">
        <w:rPr>
          <w:rFonts w:ascii="Arial" w:hAnsi="Arial" w:cs="Arial"/>
        </w:rPr>
        <w:t xml:space="preserve">H, pri čemu </w:t>
      </w:r>
      <w:r w:rsidRPr="00801BF0">
        <w:rPr>
          <w:rFonts w:ascii="Arial" w:hAnsi="Arial" w:cs="Arial"/>
          <w:noProof/>
        </w:rPr>
        <w:t xml:space="preserve">postoji dovoljno dokaza koji upućuju na zaključak </w:t>
      </w:r>
      <w:r w:rsidR="00801BF0" w:rsidRPr="00801BF0">
        <w:rPr>
          <w:rFonts w:ascii="Arial" w:hAnsi="Arial" w:cs="Arial"/>
          <w:noProof/>
        </w:rPr>
        <w:t>da isti nije mogao biti lociran duži vremenski period</w:t>
      </w:r>
      <w:r w:rsidRPr="00801BF0">
        <w:rPr>
          <w:rFonts w:ascii="Arial" w:hAnsi="Arial" w:cs="Arial"/>
          <w:noProof/>
        </w:rPr>
        <w:t>,</w:t>
      </w:r>
      <w:r w:rsidRPr="00347A66">
        <w:rPr>
          <w:rFonts w:ascii="Arial" w:hAnsi="Arial" w:cs="Arial"/>
          <w:noProof/>
        </w:rPr>
        <w:t xml:space="preserve"> što je za direktnu posljedicu imalo njegovu nedostupnost nadležnim pravosudnim organima</w:t>
      </w:r>
      <w:r w:rsidR="00957431">
        <w:rPr>
          <w:rFonts w:ascii="Arial" w:hAnsi="Arial" w:cs="Arial"/>
          <w:noProof/>
        </w:rPr>
        <w:t>, zbog kojih okolnosti</w:t>
      </w:r>
      <w:r w:rsidRPr="00347A66">
        <w:rPr>
          <w:rFonts w:ascii="Arial" w:hAnsi="Arial" w:cs="Arial"/>
          <w:noProof/>
        </w:rPr>
        <w:t xml:space="preserve"> Vijeće cijeni da postoji realna opasnost od bjekstva </w:t>
      </w:r>
      <w:r w:rsidR="00957431">
        <w:rPr>
          <w:rFonts w:ascii="Arial" w:hAnsi="Arial" w:cs="Arial"/>
          <w:noProof/>
        </w:rPr>
        <w:t>optuženog</w:t>
      </w:r>
      <w:r w:rsidRPr="00347A66">
        <w:rPr>
          <w:rFonts w:ascii="Arial" w:hAnsi="Arial" w:cs="Arial"/>
          <w:noProof/>
        </w:rPr>
        <w:t xml:space="preserve"> u cilju izbjegavanja krivičnog postupka, odnosno opstruiranja daljnjeg vođenja i okončanja istog, ukoliko bi bio pušten na slobodu. U prilog navedenom zaključku, da se </w:t>
      </w:r>
      <w:r w:rsidR="00957431">
        <w:rPr>
          <w:rFonts w:ascii="Arial" w:hAnsi="Arial" w:cs="Arial"/>
          <w:noProof/>
        </w:rPr>
        <w:t xml:space="preserve">optuženi </w:t>
      </w:r>
      <w:r w:rsidRPr="00347A66">
        <w:rPr>
          <w:rFonts w:ascii="Arial" w:hAnsi="Arial" w:cs="Arial"/>
          <w:noProof/>
        </w:rPr>
        <w:t xml:space="preserve">krio i da je bio nedostupan organima gonjenja u </w:t>
      </w:r>
      <w:r w:rsidR="00FF1E34">
        <w:rPr>
          <w:rFonts w:ascii="Arial" w:hAnsi="Arial" w:cs="Arial"/>
          <w:noProof/>
        </w:rPr>
        <w:t>B</w:t>
      </w:r>
      <w:r w:rsidR="004406BB">
        <w:rPr>
          <w:rFonts w:ascii="Arial" w:hAnsi="Arial" w:cs="Arial"/>
          <w:noProof/>
        </w:rPr>
        <w:t xml:space="preserve">osni i </w:t>
      </w:r>
      <w:r w:rsidRPr="00347A66">
        <w:rPr>
          <w:rFonts w:ascii="Arial" w:hAnsi="Arial" w:cs="Arial"/>
          <w:noProof/>
        </w:rPr>
        <w:t>H</w:t>
      </w:r>
      <w:r w:rsidR="004406BB">
        <w:rPr>
          <w:rFonts w:ascii="Arial" w:hAnsi="Arial" w:cs="Arial"/>
          <w:noProof/>
        </w:rPr>
        <w:t>ercegovini</w:t>
      </w:r>
      <w:r w:rsidRPr="00347A66">
        <w:rPr>
          <w:rFonts w:ascii="Arial" w:hAnsi="Arial" w:cs="Arial"/>
          <w:noProof/>
        </w:rPr>
        <w:t>, stoji i činjenica da</w:t>
      </w:r>
      <w:r w:rsidRPr="00347A66">
        <w:rPr>
          <w:rFonts w:ascii="Arial" w:hAnsi="Arial" w:cs="Arial"/>
          <w:iCs/>
          <w:noProof/>
          <w:lang w:eastAsia="bs-Latn-BA"/>
        </w:rPr>
        <w:t xml:space="preserve"> </w:t>
      </w:r>
      <w:r w:rsidR="00957431">
        <w:rPr>
          <w:rFonts w:ascii="Arial" w:hAnsi="Arial" w:cs="Arial"/>
          <w:iCs/>
          <w:noProof/>
          <w:lang w:eastAsia="bs-Latn-BA"/>
        </w:rPr>
        <w:t>optuženi</w:t>
      </w:r>
      <w:r w:rsidRPr="00347A66">
        <w:rPr>
          <w:rFonts w:ascii="Arial" w:hAnsi="Arial" w:cs="Arial"/>
          <w:iCs/>
          <w:noProof/>
          <w:lang w:eastAsia="bs-Latn-BA"/>
        </w:rPr>
        <w:t xml:space="preserve"> dugo nije </w:t>
      </w:r>
      <w:r w:rsidR="00957431">
        <w:rPr>
          <w:rFonts w:ascii="Arial" w:hAnsi="Arial" w:cs="Arial"/>
          <w:iCs/>
          <w:noProof/>
          <w:lang w:eastAsia="bs-Latn-BA"/>
        </w:rPr>
        <w:t>mogao biti lociran</w:t>
      </w:r>
      <w:r w:rsidRPr="00347A66">
        <w:rPr>
          <w:rFonts w:ascii="Arial" w:hAnsi="Arial" w:cs="Arial"/>
          <w:iCs/>
          <w:noProof/>
          <w:lang w:eastAsia="bs-Latn-BA"/>
        </w:rPr>
        <w:t>, odnosno da je bio nedostupan policijskim agencijama u BiH.</w:t>
      </w:r>
      <w:r w:rsidRPr="00957431">
        <w:rPr>
          <w:rStyle w:val="FootnoteReference"/>
          <w:rFonts w:ascii="Arial" w:hAnsi="Arial" w:cs="Arial"/>
          <w:iCs/>
          <w:noProof/>
          <w:lang w:eastAsia="bs-Latn-BA"/>
        </w:rPr>
        <w:footnoteReference w:id="2"/>
      </w:r>
      <w:r w:rsidRPr="00347A66">
        <w:rPr>
          <w:rFonts w:ascii="Arial" w:hAnsi="Arial" w:cs="Arial"/>
          <w:iCs/>
          <w:noProof/>
          <w:lang w:eastAsia="bs-Latn-BA"/>
        </w:rPr>
        <w:t xml:space="preserve"> </w:t>
      </w:r>
    </w:p>
    <w:p w14:paraId="4CD9084F" w14:textId="77777777" w:rsidR="008B6026" w:rsidRPr="00347A66" w:rsidRDefault="008B6026" w:rsidP="00AD4958">
      <w:pPr>
        <w:spacing w:line="360" w:lineRule="auto"/>
        <w:ind w:left="-144" w:right="-288"/>
        <w:jc w:val="both"/>
        <w:rPr>
          <w:rFonts w:ascii="Arial" w:hAnsi="Arial" w:cs="Arial"/>
          <w:iCs/>
          <w:noProof/>
          <w:highlight w:val="yellow"/>
          <w:lang w:eastAsia="bs-Latn-BA"/>
        </w:rPr>
      </w:pPr>
    </w:p>
    <w:p w14:paraId="501B7DAB" w14:textId="0CBD0523" w:rsidR="008B6026" w:rsidRPr="00347A66" w:rsidRDefault="00957431" w:rsidP="001225C4">
      <w:pPr>
        <w:widowControl w:val="0"/>
        <w:autoSpaceDE w:val="0"/>
        <w:autoSpaceDN w:val="0"/>
        <w:adjustRightInd w:val="0"/>
        <w:spacing w:line="360" w:lineRule="auto"/>
        <w:ind w:left="-144" w:right="-288"/>
        <w:jc w:val="both"/>
        <w:rPr>
          <w:rFonts w:ascii="Arial" w:hAnsi="Arial" w:cs="Arial"/>
        </w:rPr>
      </w:pPr>
      <w:r w:rsidRPr="00957431">
        <w:rPr>
          <w:rFonts w:ascii="Arial" w:hAnsi="Arial" w:cs="Arial"/>
        </w:rPr>
        <w:t xml:space="preserve">Pored toga, </w:t>
      </w:r>
      <w:r>
        <w:rPr>
          <w:rFonts w:ascii="Arial" w:hAnsi="Arial" w:cs="Arial"/>
        </w:rPr>
        <w:t xml:space="preserve">Vijeće </w:t>
      </w:r>
      <w:r w:rsidRPr="00957431">
        <w:rPr>
          <w:rFonts w:ascii="Arial" w:hAnsi="Arial" w:cs="Arial"/>
        </w:rPr>
        <w:t>cijeni i činjenicu da je optuženi sada upoznat sa krivičnim djelom koje mu se stavlja na teret, odnosno, da je isti u potpunosti postao svjestan težine djela koje mu se stavlja na teret i visin</w:t>
      </w:r>
      <w:r w:rsidR="0059360C">
        <w:rPr>
          <w:rFonts w:ascii="Arial" w:hAnsi="Arial" w:cs="Arial"/>
        </w:rPr>
        <w:t xml:space="preserve">om </w:t>
      </w:r>
      <w:r w:rsidRPr="00957431">
        <w:rPr>
          <w:rFonts w:ascii="Arial" w:hAnsi="Arial" w:cs="Arial"/>
        </w:rPr>
        <w:t>zaprijećene kazne za isto</w:t>
      </w:r>
      <w:r w:rsidR="0059360C">
        <w:rPr>
          <w:rFonts w:ascii="Arial" w:hAnsi="Arial" w:cs="Arial"/>
        </w:rPr>
        <w:t xml:space="preserve"> jer</w:t>
      </w:r>
      <w:r w:rsidRPr="00957431">
        <w:rPr>
          <w:rFonts w:ascii="Arial" w:hAnsi="Arial" w:cs="Arial"/>
        </w:rPr>
        <w:t xml:space="preserve"> u ovom trenutku postoji potvrđena optužnica zbog čega optuženi zasigurno ima jak motiv da napusti BiH </w:t>
      </w:r>
      <w:r>
        <w:rPr>
          <w:rFonts w:ascii="Arial" w:hAnsi="Arial" w:cs="Arial"/>
        </w:rPr>
        <w:t>s kojom nema nikakvih veza (što odbrana i ne spori) i na taj način postane nedostupan organima gonjenja BiH</w:t>
      </w:r>
      <w:r w:rsidRPr="00957431">
        <w:rPr>
          <w:rFonts w:ascii="Arial" w:hAnsi="Arial" w:cs="Arial"/>
        </w:rPr>
        <w:t xml:space="preserve">. </w:t>
      </w:r>
      <w:r w:rsidR="001225C4">
        <w:rPr>
          <w:rFonts w:ascii="Arial" w:hAnsi="Arial" w:cs="Arial"/>
        </w:rPr>
        <w:t xml:space="preserve">Optuženom je također poznato da </w:t>
      </w:r>
      <w:r w:rsidR="0059360C">
        <w:rPr>
          <w:rFonts w:ascii="Arial" w:hAnsi="Arial" w:cs="Arial"/>
        </w:rPr>
        <w:t>su određ</w:t>
      </w:r>
      <w:r w:rsidR="00AC2B11">
        <w:rPr>
          <w:rFonts w:ascii="Arial" w:hAnsi="Arial" w:cs="Arial"/>
        </w:rPr>
        <w:t>e</w:t>
      </w:r>
      <w:r w:rsidR="0059360C">
        <w:rPr>
          <w:rFonts w:ascii="Arial" w:hAnsi="Arial" w:cs="Arial"/>
        </w:rPr>
        <w:t xml:space="preserve">ni </w:t>
      </w:r>
      <w:r w:rsidR="008B6026" w:rsidRPr="00347A66">
        <w:rPr>
          <w:rFonts w:ascii="Arial" w:hAnsi="Arial" w:cs="Arial"/>
        </w:rPr>
        <w:t>člano</w:t>
      </w:r>
      <w:r w:rsidR="00AC2B11">
        <w:rPr>
          <w:rFonts w:ascii="Arial" w:hAnsi="Arial" w:cs="Arial"/>
        </w:rPr>
        <w:t>v</w:t>
      </w:r>
      <w:r w:rsidR="0059360C">
        <w:rPr>
          <w:rFonts w:ascii="Arial" w:hAnsi="Arial" w:cs="Arial"/>
        </w:rPr>
        <w:t xml:space="preserve">i </w:t>
      </w:r>
      <w:r w:rsidR="008B6026" w:rsidRPr="00347A66">
        <w:rPr>
          <w:rFonts w:ascii="Arial" w:hAnsi="Arial" w:cs="Arial"/>
        </w:rPr>
        <w:t>grupe lišavani slobode u ovom krivičnom predmetu</w:t>
      </w:r>
      <w:r w:rsidR="001225C4">
        <w:rPr>
          <w:rFonts w:ascii="Arial" w:hAnsi="Arial" w:cs="Arial"/>
        </w:rPr>
        <w:t xml:space="preserve"> i da je krivični postupak protiv </w:t>
      </w:r>
      <w:r w:rsidR="0059360C">
        <w:rPr>
          <w:rFonts w:ascii="Arial" w:hAnsi="Arial" w:cs="Arial"/>
        </w:rPr>
        <w:t xml:space="preserve">njih </w:t>
      </w:r>
      <w:r w:rsidR="001225C4">
        <w:rPr>
          <w:rFonts w:ascii="Arial" w:hAnsi="Arial" w:cs="Arial"/>
        </w:rPr>
        <w:t>trenutno u fazi glavnog pretresa (B</w:t>
      </w:r>
      <w:r w:rsidR="00FF1E34">
        <w:rPr>
          <w:rFonts w:ascii="Arial" w:hAnsi="Arial" w:cs="Arial"/>
        </w:rPr>
        <w:t>.</w:t>
      </w:r>
      <w:r w:rsidR="001225C4">
        <w:rPr>
          <w:rFonts w:ascii="Arial" w:hAnsi="Arial" w:cs="Arial"/>
        </w:rPr>
        <w:t>C</w:t>
      </w:r>
      <w:r w:rsidR="00FF1E34">
        <w:rPr>
          <w:rFonts w:ascii="Arial" w:hAnsi="Arial" w:cs="Arial"/>
        </w:rPr>
        <w:t>.</w:t>
      </w:r>
      <w:r w:rsidR="001225C4">
        <w:rPr>
          <w:rFonts w:ascii="Arial" w:hAnsi="Arial" w:cs="Arial"/>
        </w:rPr>
        <w:t xml:space="preserve"> i drugi)</w:t>
      </w:r>
      <w:r w:rsidR="0059360C">
        <w:rPr>
          <w:rFonts w:ascii="Arial" w:hAnsi="Arial" w:cs="Arial"/>
        </w:rPr>
        <w:t xml:space="preserve">, ali i da su neki od njih i dalje predmetom istrage i nalaze se na slobodi i drugim državama. </w:t>
      </w:r>
      <w:r w:rsidR="001225C4">
        <w:rPr>
          <w:rFonts w:ascii="Arial" w:hAnsi="Arial" w:cs="Arial"/>
        </w:rPr>
        <w:t>Tako je Vijeće, u p</w:t>
      </w:r>
      <w:r w:rsidR="00040B3F" w:rsidRPr="00347A66">
        <w:rPr>
          <w:rFonts w:ascii="Arial" w:hAnsi="Arial" w:cs="Arial"/>
        </w:rPr>
        <w:t xml:space="preserve">rilog opasnosti od bjekstva, cijenilo i postojanje nespornih međunarodnih kontakata </w:t>
      </w:r>
      <w:r w:rsidR="001225C4">
        <w:rPr>
          <w:rFonts w:ascii="Arial" w:hAnsi="Arial" w:cs="Arial"/>
        </w:rPr>
        <w:t>optuženog,</w:t>
      </w:r>
      <w:r w:rsidR="00040B3F" w:rsidRPr="00347A66">
        <w:rPr>
          <w:rFonts w:ascii="Arial" w:hAnsi="Arial" w:cs="Arial"/>
        </w:rPr>
        <w:t xml:space="preserve"> </w:t>
      </w:r>
      <w:r w:rsidR="008B6026" w:rsidRPr="00347A66">
        <w:rPr>
          <w:rFonts w:ascii="Arial" w:hAnsi="Arial" w:cs="Arial"/>
          <w:noProof/>
        </w:rPr>
        <w:t>uspostavljenih činjenjem predmetnog krivičnog djela za koj</w:t>
      </w:r>
      <w:r w:rsidR="001225C4">
        <w:rPr>
          <w:rFonts w:ascii="Arial" w:hAnsi="Arial" w:cs="Arial"/>
          <w:noProof/>
        </w:rPr>
        <w:t>e se tereti potvrđenom optužnicom, a</w:t>
      </w:r>
      <w:r w:rsidR="008B6026" w:rsidRPr="00347A66">
        <w:rPr>
          <w:rFonts w:ascii="Arial" w:eastAsia="Calibri" w:hAnsi="Arial" w:cs="Arial"/>
          <w:noProof/>
        </w:rPr>
        <w:t xml:space="preserve"> čiji se </w:t>
      </w:r>
      <w:r w:rsidR="001225C4" w:rsidRPr="001225C4">
        <w:rPr>
          <w:rFonts w:ascii="Arial" w:eastAsia="Calibri" w:hAnsi="Arial" w:cs="Arial"/>
          <w:iCs/>
          <w:noProof/>
        </w:rPr>
        <w:t>način izvršenja</w:t>
      </w:r>
      <w:r w:rsidR="008B6026" w:rsidRPr="00347A66">
        <w:rPr>
          <w:rFonts w:ascii="Arial" w:eastAsia="Calibri" w:hAnsi="Arial" w:cs="Arial"/>
          <w:noProof/>
        </w:rPr>
        <w:t xml:space="preserve"> dovodi u vezu sa djelovanjem u više zemalja,</w:t>
      </w:r>
      <w:r w:rsidR="001225C4">
        <w:rPr>
          <w:rFonts w:ascii="Arial" w:eastAsia="Calibri" w:hAnsi="Arial" w:cs="Arial"/>
          <w:noProof/>
        </w:rPr>
        <w:t xml:space="preserve"> što dodatno</w:t>
      </w:r>
      <w:r w:rsidR="008B6026" w:rsidRPr="00347A66">
        <w:rPr>
          <w:rFonts w:ascii="Arial" w:eastAsia="Calibri" w:hAnsi="Arial" w:cs="Arial"/>
          <w:noProof/>
        </w:rPr>
        <w:t xml:space="preserve"> </w:t>
      </w:r>
      <w:r w:rsidR="008B6026" w:rsidRPr="00347A66">
        <w:rPr>
          <w:rFonts w:ascii="Arial" w:eastAsia="Arial Unicode MS" w:hAnsi="Arial" w:cs="Arial"/>
          <w:bCs/>
          <w:iCs/>
          <w:noProof/>
        </w:rPr>
        <w:t xml:space="preserve">ukazuje na to da </w:t>
      </w:r>
      <w:r w:rsidR="001225C4">
        <w:rPr>
          <w:rFonts w:ascii="Arial" w:eastAsia="Arial Unicode MS" w:hAnsi="Arial" w:cs="Arial"/>
          <w:bCs/>
          <w:iCs/>
          <w:noProof/>
        </w:rPr>
        <w:t>optuženi</w:t>
      </w:r>
      <w:r w:rsidR="008B6026" w:rsidRPr="00347A66">
        <w:rPr>
          <w:rFonts w:ascii="Arial" w:eastAsia="Arial Unicode MS" w:hAnsi="Arial" w:cs="Arial"/>
          <w:bCs/>
          <w:iCs/>
          <w:noProof/>
        </w:rPr>
        <w:t xml:space="preserve"> očigledno ima i kontakte u inostranstvu, a koja okolnost je, u skladu sa praksom ESLJP indikativna prilikom odlučivanja o mjerama osiguranja prisustva.</w:t>
      </w:r>
      <w:r w:rsidR="008B6026" w:rsidRPr="00347A66">
        <w:rPr>
          <w:rStyle w:val="FootnoteReference"/>
          <w:rFonts w:ascii="Arial" w:eastAsia="Arial Unicode MS" w:hAnsi="Arial" w:cs="Arial"/>
          <w:bCs/>
          <w:iCs/>
          <w:noProof/>
        </w:rPr>
        <w:footnoteReference w:id="3"/>
      </w:r>
      <w:r w:rsidR="008B6026" w:rsidRPr="00347A66">
        <w:rPr>
          <w:rFonts w:ascii="Arial" w:eastAsia="Arial Unicode MS" w:hAnsi="Arial" w:cs="Arial"/>
          <w:bCs/>
          <w:iCs/>
          <w:noProof/>
        </w:rPr>
        <w:t xml:space="preserve"> Naime, </w:t>
      </w:r>
      <w:r w:rsidR="008B6026" w:rsidRPr="00347A66">
        <w:rPr>
          <w:rFonts w:ascii="Arial" w:hAnsi="Arial" w:cs="Arial"/>
          <w:noProof/>
        </w:rPr>
        <w:t xml:space="preserve">prilikom odlučivanja o pritvoru jedan od faktora koje sud treba uzeti u razmatranje je i činjenica da </w:t>
      </w:r>
      <w:r w:rsidR="001225C4">
        <w:rPr>
          <w:rFonts w:ascii="Arial" w:hAnsi="Arial" w:cs="Arial"/>
          <w:noProof/>
        </w:rPr>
        <w:t xml:space="preserve">optuženi </w:t>
      </w:r>
      <w:r w:rsidR="008B6026" w:rsidRPr="00347A66">
        <w:rPr>
          <w:rFonts w:ascii="Arial" w:hAnsi="Arial" w:cs="Arial"/>
          <w:noProof/>
        </w:rPr>
        <w:t xml:space="preserve">ima kontakte u inostranstvu, koji bi mu, u slučaju da se nađe na slobodi, mogli pomoći </w:t>
      </w:r>
      <w:r w:rsidR="008B6026" w:rsidRPr="00347A66">
        <w:rPr>
          <w:rFonts w:ascii="Arial" w:hAnsi="Arial" w:cs="Arial"/>
          <w:noProof/>
        </w:rPr>
        <w:lastRenderedPageBreak/>
        <w:t xml:space="preserve">u skrivanju ili bjekstvu. U tom smislu Vijeće je cijenilo da se </w:t>
      </w:r>
      <w:r w:rsidR="001225C4">
        <w:rPr>
          <w:rFonts w:ascii="Arial" w:hAnsi="Arial" w:cs="Arial"/>
          <w:noProof/>
        </w:rPr>
        <w:t>optuženi</w:t>
      </w:r>
      <w:r w:rsidR="008B6026" w:rsidRPr="00347A66">
        <w:rPr>
          <w:rFonts w:ascii="Arial" w:hAnsi="Arial" w:cs="Arial"/>
          <w:noProof/>
        </w:rPr>
        <w:t xml:space="preserve"> tereti za počinjenje krivičnih djela u okviru grupe za organizovani kriminal, što ukazuje na postojanje većeg broja lica koja su </w:t>
      </w:r>
      <w:r w:rsidR="001225C4">
        <w:rPr>
          <w:rFonts w:ascii="Arial" w:hAnsi="Arial" w:cs="Arial"/>
          <w:noProof/>
        </w:rPr>
        <w:t>još uvijek</w:t>
      </w:r>
      <w:r w:rsidR="008B6026" w:rsidRPr="00347A66">
        <w:rPr>
          <w:rFonts w:ascii="Arial" w:hAnsi="Arial" w:cs="Arial"/>
          <w:noProof/>
        </w:rPr>
        <w:t xml:space="preserve"> nedostupna organima gonjenja, a koja lica su poznata </w:t>
      </w:r>
      <w:r w:rsidR="001225C4">
        <w:rPr>
          <w:rFonts w:ascii="Arial" w:hAnsi="Arial" w:cs="Arial"/>
          <w:noProof/>
        </w:rPr>
        <w:t>optuženom</w:t>
      </w:r>
      <w:r w:rsidR="008B6026" w:rsidRPr="00347A66">
        <w:rPr>
          <w:rFonts w:ascii="Arial" w:hAnsi="Arial" w:cs="Arial"/>
          <w:noProof/>
        </w:rPr>
        <w:t xml:space="preserve"> i koje kontakte </w:t>
      </w:r>
      <w:r w:rsidR="001225C4">
        <w:rPr>
          <w:rFonts w:ascii="Arial" w:hAnsi="Arial" w:cs="Arial"/>
          <w:noProof/>
        </w:rPr>
        <w:t xml:space="preserve">isti </w:t>
      </w:r>
      <w:r w:rsidR="008B6026" w:rsidRPr="00347A66">
        <w:rPr>
          <w:rFonts w:ascii="Arial" w:hAnsi="Arial" w:cs="Arial"/>
          <w:noProof/>
        </w:rPr>
        <w:t xml:space="preserve">može iskoristiti u cilju pružanja utočišta van BiH. U tom kontekstu, Vijeće je cijenilo činjenicu da </w:t>
      </w:r>
      <w:r w:rsidR="008B6026" w:rsidRPr="00347A66">
        <w:rPr>
          <w:rFonts w:ascii="Arial" w:hAnsi="Arial" w:cs="Arial"/>
        </w:rPr>
        <w:t xml:space="preserve">se </w:t>
      </w:r>
      <w:r w:rsidR="001225C4">
        <w:rPr>
          <w:rFonts w:ascii="Arial" w:hAnsi="Arial" w:cs="Arial"/>
        </w:rPr>
        <w:t xml:space="preserve">optuženi </w:t>
      </w:r>
      <w:r w:rsidR="008B6026" w:rsidRPr="00347A66">
        <w:rPr>
          <w:rFonts w:ascii="Arial" w:hAnsi="Arial" w:cs="Arial"/>
        </w:rPr>
        <w:t>krio na području Č</w:t>
      </w:r>
      <w:r w:rsidR="00680847">
        <w:rPr>
          <w:rFonts w:ascii="Arial" w:hAnsi="Arial" w:cs="Arial"/>
        </w:rPr>
        <w:t xml:space="preserve">eške </w:t>
      </w:r>
      <w:r w:rsidR="008B6026" w:rsidRPr="00347A66">
        <w:rPr>
          <w:rFonts w:ascii="Arial" w:hAnsi="Arial" w:cs="Arial"/>
        </w:rPr>
        <w:t>R</w:t>
      </w:r>
      <w:r w:rsidR="00680847">
        <w:rPr>
          <w:rFonts w:ascii="Arial" w:hAnsi="Arial" w:cs="Arial"/>
        </w:rPr>
        <w:t>epublike</w:t>
      </w:r>
      <w:r w:rsidR="008B6026" w:rsidRPr="00347A66">
        <w:rPr>
          <w:rFonts w:ascii="Arial" w:hAnsi="Arial" w:cs="Arial"/>
        </w:rPr>
        <w:t>, gdje je u konačnici i lišen slobode</w:t>
      </w:r>
      <w:r w:rsidR="001225C4">
        <w:rPr>
          <w:rFonts w:ascii="Arial" w:hAnsi="Arial" w:cs="Arial"/>
        </w:rPr>
        <w:t>.</w:t>
      </w:r>
    </w:p>
    <w:p w14:paraId="2BE28737" w14:textId="2C6A261E" w:rsidR="00A8765D" w:rsidRPr="00347A66" w:rsidRDefault="00A8765D" w:rsidP="00AD4958">
      <w:pPr>
        <w:widowControl w:val="0"/>
        <w:autoSpaceDE w:val="0"/>
        <w:autoSpaceDN w:val="0"/>
        <w:adjustRightInd w:val="0"/>
        <w:spacing w:line="360" w:lineRule="auto"/>
        <w:ind w:left="-144" w:right="-288"/>
        <w:jc w:val="both"/>
        <w:rPr>
          <w:rFonts w:ascii="Arial" w:hAnsi="Arial" w:cs="Arial"/>
        </w:rPr>
      </w:pPr>
    </w:p>
    <w:p w14:paraId="75B120DF" w14:textId="401957FE" w:rsidR="008B6026" w:rsidRPr="00347A66" w:rsidRDefault="001225C4" w:rsidP="00AD4958">
      <w:pPr>
        <w:widowControl w:val="0"/>
        <w:autoSpaceDE w:val="0"/>
        <w:autoSpaceDN w:val="0"/>
        <w:adjustRightInd w:val="0"/>
        <w:spacing w:line="360" w:lineRule="auto"/>
        <w:ind w:left="-144" w:right="-288"/>
        <w:jc w:val="both"/>
        <w:rPr>
          <w:rFonts w:ascii="Arial" w:hAnsi="Arial" w:cs="Arial"/>
        </w:rPr>
      </w:pPr>
      <w:r>
        <w:rPr>
          <w:rFonts w:ascii="Arial" w:hAnsi="Arial" w:cs="Arial"/>
        </w:rPr>
        <w:t>Pored navedeno, a k</w:t>
      </w:r>
      <w:r w:rsidR="00A8765D" w:rsidRPr="00347A66">
        <w:rPr>
          <w:rFonts w:ascii="Arial" w:hAnsi="Arial" w:cs="Arial"/>
        </w:rPr>
        <w:t xml:space="preserve">ao značajnu okolnost kod procjene </w:t>
      </w:r>
      <w:r w:rsidR="008B6026" w:rsidRPr="00347A66">
        <w:rPr>
          <w:rFonts w:ascii="Arial" w:hAnsi="Arial" w:cs="Arial"/>
        </w:rPr>
        <w:t xml:space="preserve">postojanja opasnosti od bjekstva </w:t>
      </w:r>
      <w:r>
        <w:rPr>
          <w:rFonts w:ascii="Arial" w:hAnsi="Arial" w:cs="Arial"/>
        </w:rPr>
        <w:t>optuženog</w:t>
      </w:r>
      <w:r w:rsidR="008B6026" w:rsidRPr="00347A66">
        <w:rPr>
          <w:rFonts w:ascii="Arial" w:hAnsi="Arial" w:cs="Arial"/>
        </w:rPr>
        <w:t xml:space="preserve">, Vijeće je cijenilo </w:t>
      </w:r>
      <w:r w:rsidR="0059360C" w:rsidRPr="00347A66">
        <w:rPr>
          <w:rFonts w:ascii="Arial" w:hAnsi="Arial" w:cs="Arial"/>
        </w:rPr>
        <w:t xml:space="preserve">činjenicu </w:t>
      </w:r>
      <w:r w:rsidR="008B6026" w:rsidRPr="00347A66">
        <w:rPr>
          <w:rFonts w:ascii="Arial" w:hAnsi="Arial" w:cs="Arial"/>
        </w:rPr>
        <w:t>da su pripadnici grupe duži vremenski period u kontinuitetu uspjevali prebacivati</w:t>
      </w:r>
      <w:r w:rsidRPr="001225C4">
        <w:rPr>
          <w:rFonts w:ascii="Arial" w:hAnsi="Arial" w:cs="Arial"/>
        </w:rPr>
        <w:t xml:space="preserve"> </w:t>
      </w:r>
      <w:r w:rsidRPr="00347A66">
        <w:rPr>
          <w:rFonts w:ascii="Arial" w:hAnsi="Arial" w:cs="Arial"/>
        </w:rPr>
        <w:t>opojnu drogu</w:t>
      </w:r>
      <w:r w:rsidR="008B6026" w:rsidRPr="00347A66">
        <w:rPr>
          <w:rFonts w:ascii="Arial" w:hAnsi="Arial" w:cs="Arial"/>
        </w:rPr>
        <w:t xml:space="preserve"> preko međudržavnih granica, pritom izbjegavajući granične i policijske kontrole, što ukazuje na to da su isti upoznati sa ilegalnim načinima prelaska državne granice i mogućnostima izbjegavanja graničnih kontrola, </w:t>
      </w:r>
      <w:r>
        <w:rPr>
          <w:rFonts w:ascii="Arial" w:hAnsi="Arial" w:cs="Arial"/>
        </w:rPr>
        <w:t>a</w:t>
      </w:r>
      <w:r w:rsidR="008B6026" w:rsidRPr="00347A66">
        <w:rPr>
          <w:rFonts w:ascii="Arial" w:hAnsi="Arial" w:cs="Arial"/>
        </w:rPr>
        <w:t xml:space="preserve"> koje znanje </w:t>
      </w:r>
      <w:r>
        <w:rPr>
          <w:rFonts w:ascii="Arial" w:hAnsi="Arial" w:cs="Arial"/>
        </w:rPr>
        <w:t>optuženi</w:t>
      </w:r>
      <w:r w:rsidR="008B6026" w:rsidRPr="00347A66">
        <w:rPr>
          <w:rFonts w:ascii="Arial" w:hAnsi="Arial" w:cs="Arial"/>
        </w:rPr>
        <w:t xml:space="preserve"> može iskoristiti i za napuštanje teritorije Bosne i Hercegovine</w:t>
      </w:r>
      <w:r>
        <w:rPr>
          <w:rFonts w:ascii="Arial" w:hAnsi="Arial" w:cs="Arial"/>
        </w:rPr>
        <w:t>, ukoliko se nađe na slobodi.</w:t>
      </w:r>
    </w:p>
    <w:p w14:paraId="1F5517F4" w14:textId="1E84A078" w:rsidR="00A8765D" w:rsidRPr="00347A66" w:rsidRDefault="00A8765D" w:rsidP="00AD4958">
      <w:pPr>
        <w:widowControl w:val="0"/>
        <w:autoSpaceDE w:val="0"/>
        <w:autoSpaceDN w:val="0"/>
        <w:adjustRightInd w:val="0"/>
        <w:spacing w:line="360" w:lineRule="auto"/>
        <w:ind w:left="-144" w:right="-288"/>
        <w:jc w:val="both"/>
        <w:rPr>
          <w:rFonts w:ascii="Arial" w:hAnsi="Arial" w:cs="Arial"/>
        </w:rPr>
      </w:pPr>
    </w:p>
    <w:p w14:paraId="23A679A6" w14:textId="6554297C" w:rsidR="002E326A" w:rsidRDefault="002E326A" w:rsidP="002E326A">
      <w:pPr>
        <w:widowControl w:val="0"/>
        <w:tabs>
          <w:tab w:val="left" w:pos="8220"/>
        </w:tabs>
        <w:autoSpaceDE w:val="0"/>
        <w:autoSpaceDN w:val="0"/>
        <w:adjustRightInd w:val="0"/>
        <w:spacing w:line="360" w:lineRule="auto"/>
        <w:ind w:left="-144" w:right="-288"/>
        <w:jc w:val="both"/>
        <w:rPr>
          <w:rFonts w:ascii="Arial" w:eastAsia="Calibri" w:hAnsi="Arial" w:cs="Arial"/>
        </w:rPr>
      </w:pPr>
      <w:r w:rsidRPr="002E326A">
        <w:rPr>
          <w:rFonts w:ascii="Arial" w:eastAsia="Calibri" w:hAnsi="Arial" w:cs="Arial"/>
        </w:rPr>
        <w:t>Slijedom navedenih okolnosti, koje se odnose na lična svojstva optuženog,</w:t>
      </w:r>
      <w:r w:rsidR="00CD4635">
        <w:rPr>
          <w:rFonts w:ascii="Arial" w:eastAsia="Calibri" w:hAnsi="Arial" w:cs="Arial"/>
        </w:rPr>
        <w:t xml:space="preserve"> i to da nema državljanstvo B</w:t>
      </w:r>
      <w:r w:rsidR="00AC2B11">
        <w:rPr>
          <w:rFonts w:ascii="Arial" w:eastAsia="Calibri" w:hAnsi="Arial" w:cs="Arial"/>
        </w:rPr>
        <w:t>i</w:t>
      </w:r>
      <w:r w:rsidR="00CD4635">
        <w:rPr>
          <w:rFonts w:ascii="Arial" w:eastAsia="Calibri" w:hAnsi="Arial" w:cs="Arial"/>
        </w:rPr>
        <w:t xml:space="preserve">H za koju ga evidentno vezuje jedino </w:t>
      </w:r>
      <w:r w:rsidRPr="002E326A">
        <w:rPr>
          <w:rFonts w:ascii="Arial" w:eastAsia="Calibri" w:hAnsi="Arial" w:cs="Arial"/>
        </w:rPr>
        <w:t>način izvršenja krivičn</w:t>
      </w:r>
      <w:r w:rsidR="0059360C">
        <w:rPr>
          <w:rFonts w:ascii="Arial" w:eastAsia="Calibri" w:hAnsi="Arial" w:cs="Arial"/>
        </w:rPr>
        <w:t>og djela</w:t>
      </w:r>
      <w:r w:rsidRPr="002E326A">
        <w:rPr>
          <w:rFonts w:ascii="Arial" w:eastAsia="Calibri" w:hAnsi="Arial" w:cs="Arial"/>
        </w:rPr>
        <w:t xml:space="preserve"> za koje se tereti, povezanost</w:t>
      </w:r>
      <w:r w:rsidR="0059360C">
        <w:rPr>
          <w:rFonts w:ascii="Arial" w:eastAsia="Calibri" w:hAnsi="Arial" w:cs="Arial"/>
        </w:rPr>
        <w:t xml:space="preserve"> optuženog sa</w:t>
      </w:r>
      <w:r w:rsidRPr="002E326A">
        <w:rPr>
          <w:rFonts w:ascii="Arial" w:eastAsia="Calibri" w:hAnsi="Arial" w:cs="Arial"/>
        </w:rPr>
        <w:t xml:space="preserve"> već</w:t>
      </w:r>
      <w:r w:rsidR="0059360C">
        <w:rPr>
          <w:rFonts w:ascii="Arial" w:eastAsia="Calibri" w:hAnsi="Arial" w:cs="Arial"/>
        </w:rPr>
        <w:t xml:space="preserve">im brojem </w:t>
      </w:r>
      <w:r w:rsidRPr="002E326A">
        <w:rPr>
          <w:rFonts w:ascii="Arial" w:eastAsia="Calibri" w:hAnsi="Arial" w:cs="Arial"/>
        </w:rPr>
        <w:t xml:space="preserve">lica </w:t>
      </w:r>
      <w:r w:rsidR="0059360C">
        <w:rPr>
          <w:rFonts w:ascii="Arial" w:eastAsia="Calibri" w:hAnsi="Arial" w:cs="Arial"/>
        </w:rPr>
        <w:t xml:space="preserve">pri </w:t>
      </w:r>
      <w:r w:rsidRPr="002E326A">
        <w:rPr>
          <w:rFonts w:ascii="Arial" w:eastAsia="Calibri" w:hAnsi="Arial" w:cs="Arial"/>
        </w:rPr>
        <w:t>u izvršenju krivičn</w:t>
      </w:r>
      <w:r w:rsidR="0059360C">
        <w:rPr>
          <w:rFonts w:ascii="Arial" w:eastAsia="Calibri" w:hAnsi="Arial" w:cs="Arial"/>
        </w:rPr>
        <w:t>og</w:t>
      </w:r>
      <w:r w:rsidRPr="002E326A">
        <w:rPr>
          <w:rFonts w:ascii="Arial" w:eastAsia="Calibri" w:hAnsi="Arial" w:cs="Arial"/>
        </w:rPr>
        <w:t xml:space="preserve"> djela, međunarodni karakter poduzetih radnji, težin</w:t>
      </w:r>
      <w:r w:rsidR="00CD4635">
        <w:rPr>
          <w:rFonts w:ascii="Arial" w:eastAsia="Calibri" w:hAnsi="Arial" w:cs="Arial"/>
        </w:rPr>
        <w:t>a</w:t>
      </w:r>
      <w:r w:rsidRPr="002E326A">
        <w:rPr>
          <w:rFonts w:ascii="Arial" w:eastAsia="Calibri" w:hAnsi="Arial" w:cs="Arial"/>
        </w:rPr>
        <w:t xml:space="preserve"> krivičnih djela</w:t>
      </w:r>
      <w:r>
        <w:rPr>
          <w:rFonts w:ascii="Arial" w:eastAsia="Calibri" w:hAnsi="Arial" w:cs="Arial"/>
        </w:rPr>
        <w:t>,</w:t>
      </w:r>
      <w:r w:rsidRPr="002E326A">
        <w:rPr>
          <w:rFonts w:ascii="Arial" w:eastAsia="Calibri" w:hAnsi="Arial" w:cs="Arial"/>
        </w:rPr>
        <w:t xml:space="preserve"> odnosno zaprijećen</w:t>
      </w:r>
      <w:r w:rsidR="00CD4635">
        <w:rPr>
          <w:rFonts w:ascii="Arial" w:eastAsia="Calibri" w:hAnsi="Arial" w:cs="Arial"/>
        </w:rPr>
        <w:t xml:space="preserve">a </w:t>
      </w:r>
      <w:r w:rsidR="00061C52" w:rsidRPr="002E326A">
        <w:rPr>
          <w:rFonts w:ascii="Arial" w:eastAsia="Calibri" w:hAnsi="Arial" w:cs="Arial"/>
        </w:rPr>
        <w:t>kazn</w:t>
      </w:r>
      <w:r w:rsidR="00061C52">
        <w:rPr>
          <w:rFonts w:ascii="Arial" w:eastAsia="Calibri" w:hAnsi="Arial" w:cs="Arial"/>
        </w:rPr>
        <w:t>a</w:t>
      </w:r>
      <w:r w:rsidR="00061C52" w:rsidRPr="002E326A">
        <w:rPr>
          <w:rFonts w:ascii="Arial" w:eastAsia="Calibri" w:hAnsi="Arial" w:cs="Arial"/>
        </w:rPr>
        <w:t xml:space="preserve"> </w:t>
      </w:r>
      <w:r w:rsidRPr="002E326A">
        <w:rPr>
          <w:rFonts w:ascii="Arial" w:eastAsia="Calibri" w:hAnsi="Arial" w:cs="Arial"/>
        </w:rPr>
        <w:t>za ist</w:t>
      </w:r>
      <w:r w:rsidR="0059360C">
        <w:rPr>
          <w:rFonts w:ascii="Arial" w:eastAsia="Calibri" w:hAnsi="Arial" w:cs="Arial"/>
        </w:rPr>
        <w:t>a</w:t>
      </w:r>
      <w:r w:rsidRPr="002E326A">
        <w:rPr>
          <w:rFonts w:ascii="Arial" w:eastAsia="Calibri" w:hAnsi="Arial" w:cs="Arial"/>
        </w:rPr>
        <w:t xml:space="preserve">, uz </w:t>
      </w:r>
      <w:r w:rsidR="00061C52" w:rsidRPr="002E326A">
        <w:rPr>
          <w:rFonts w:ascii="Arial" w:eastAsia="Calibri" w:hAnsi="Arial" w:cs="Arial"/>
        </w:rPr>
        <w:t>činjenic</w:t>
      </w:r>
      <w:r w:rsidR="00061C52">
        <w:rPr>
          <w:rFonts w:ascii="Arial" w:eastAsia="Calibri" w:hAnsi="Arial" w:cs="Arial"/>
        </w:rPr>
        <w:t xml:space="preserve">u </w:t>
      </w:r>
      <w:r w:rsidRPr="002E326A">
        <w:rPr>
          <w:rFonts w:ascii="Arial" w:eastAsia="Calibri" w:hAnsi="Arial" w:cs="Arial"/>
        </w:rPr>
        <w:t xml:space="preserve">da je u ovom momentu optužnica protiv njega potvrđena, posmatrane u sveukupnosti, </w:t>
      </w:r>
      <w:r>
        <w:rPr>
          <w:rFonts w:ascii="Arial" w:eastAsia="Calibri" w:hAnsi="Arial" w:cs="Arial"/>
        </w:rPr>
        <w:t>V</w:t>
      </w:r>
      <w:r w:rsidRPr="002E326A">
        <w:rPr>
          <w:rFonts w:ascii="Arial" w:eastAsia="Calibri" w:hAnsi="Arial" w:cs="Arial"/>
        </w:rPr>
        <w:t xml:space="preserve">ijeće </w:t>
      </w:r>
      <w:r w:rsidR="00CD4635">
        <w:rPr>
          <w:rFonts w:ascii="Arial" w:eastAsia="Calibri" w:hAnsi="Arial" w:cs="Arial"/>
        </w:rPr>
        <w:t xml:space="preserve">upućuju na </w:t>
      </w:r>
      <w:r w:rsidRPr="002E326A">
        <w:rPr>
          <w:rFonts w:ascii="Arial" w:eastAsia="Calibri" w:hAnsi="Arial" w:cs="Arial"/>
        </w:rPr>
        <w:t>zaključ</w:t>
      </w:r>
      <w:r w:rsidR="00061C52">
        <w:rPr>
          <w:rFonts w:ascii="Arial" w:eastAsia="Calibri" w:hAnsi="Arial" w:cs="Arial"/>
        </w:rPr>
        <w:t>a</w:t>
      </w:r>
      <w:r w:rsidRPr="002E326A">
        <w:rPr>
          <w:rFonts w:ascii="Arial" w:eastAsia="Calibri" w:hAnsi="Arial" w:cs="Arial"/>
        </w:rPr>
        <w:t xml:space="preserve">k da bi optuženi, </w:t>
      </w:r>
      <w:r>
        <w:rPr>
          <w:rFonts w:ascii="Arial" w:eastAsia="Calibri" w:hAnsi="Arial" w:cs="Arial"/>
        </w:rPr>
        <w:t>ukoliko bi</w:t>
      </w:r>
      <w:r w:rsidRPr="002E326A">
        <w:rPr>
          <w:rFonts w:ascii="Arial" w:eastAsia="Calibri" w:hAnsi="Arial" w:cs="Arial"/>
        </w:rPr>
        <w:t xml:space="preserve"> bio pušten na slobodu, mogao pobjeći ili se skriti, </w:t>
      </w:r>
      <w:r>
        <w:rPr>
          <w:rFonts w:ascii="Arial" w:eastAsia="Calibri" w:hAnsi="Arial" w:cs="Arial"/>
        </w:rPr>
        <w:t>na koji način bi postao</w:t>
      </w:r>
      <w:r w:rsidRPr="002E326A">
        <w:rPr>
          <w:rFonts w:ascii="Arial" w:eastAsia="Calibri" w:hAnsi="Arial" w:cs="Arial"/>
        </w:rPr>
        <w:t xml:space="preserve"> nedostupan organima krivičnog gonjenja, što bi otežalo dalje vođenje i okončanje krivičnog postupka u ovom predmetu. </w:t>
      </w:r>
    </w:p>
    <w:p w14:paraId="78669638" w14:textId="129DE8C5" w:rsidR="002E326A" w:rsidRDefault="002E326A" w:rsidP="002E326A">
      <w:pPr>
        <w:widowControl w:val="0"/>
        <w:tabs>
          <w:tab w:val="left" w:pos="8220"/>
        </w:tabs>
        <w:autoSpaceDE w:val="0"/>
        <w:autoSpaceDN w:val="0"/>
        <w:adjustRightInd w:val="0"/>
        <w:spacing w:line="360" w:lineRule="auto"/>
        <w:ind w:left="-144" w:right="-288"/>
        <w:jc w:val="both"/>
        <w:rPr>
          <w:rFonts w:ascii="Arial" w:eastAsia="Calibri" w:hAnsi="Arial" w:cs="Arial"/>
        </w:rPr>
      </w:pPr>
    </w:p>
    <w:p w14:paraId="181BCA2C" w14:textId="37DE1295" w:rsidR="002E326A" w:rsidRPr="002E326A" w:rsidRDefault="002E326A" w:rsidP="002E326A">
      <w:pPr>
        <w:widowControl w:val="0"/>
        <w:tabs>
          <w:tab w:val="left" w:pos="8220"/>
        </w:tabs>
        <w:autoSpaceDE w:val="0"/>
        <w:autoSpaceDN w:val="0"/>
        <w:adjustRightInd w:val="0"/>
        <w:spacing w:line="360" w:lineRule="auto"/>
        <w:ind w:left="-144" w:right="-288"/>
        <w:jc w:val="both"/>
        <w:rPr>
          <w:rFonts w:ascii="Arial" w:eastAsia="Calibri" w:hAnsi="Arial" w:cs="Arial"/>
        </w:rPr>
      </w:pPr>
      <w:r w:rsidRPr="002E326A">
        <w:rPr>
          <w:rFonts w:ascii="Arial" w:eastAsia="Calibri" w:hAnsi="Arial" w:cs="Arial"/>
        </w:rPr>
        <w:t>Odredbom člana 137. ZKP</w:t>
      </w:r>
      <w:r>
        <w:rPr>
          <w:rFonts w:ascii="Arial" w:eastAsia="Calibri" w:hAnsi="Arial" w:cs="Arial"/>
        </w:rPr>
        <w:t xml:space="preserve"> </w:t>
      </w:r>
      <w:r w:rsidRPr="002E326A">
        <w:rPr>
          <w:rFonts w:ascii="Arial" w:eastAsia="Calibri" w:hAnsi="Arial" w:cs="Arial"/>
        </w:rPr>
        <w:t xml:space="preserve">BiH propisano je </w:t>
      </w:r>
      <w:r>
        <w:rPr>
          <w:rFonts w:ascii="Arial" w:eastAsia="Calibri" w:hAnsi="Arial" w:cs="Arial"/>
        </w:rPr>
        <w:t>da se</w:t>
      </w:r>
      <w:r w:rsidRPr="002E326A">
        <w:rPr>
          <w:rFonts w:ascii="Arial" w:eastAsia="Calibri" w:hAnsi="Arial" w:cs="Arial"/>
        </w:rPr>
        <w:t xml:space="preserve"> „(1) </w:t>
      </w:r>
      <w:r w:rsidRPr="002E326A">
        <w:rPr>
          <w:rFonts w:ascii="Arial" w:eastAsia="Calibri" w:hAnsi="Arial" w:cs="Arial"/>
          <w:i/>
          <w:iCs/>
        </w:rPr>
        <w:t xml:space="preserve">Pritvor (se) može odrediti, produžiti ili ukinuti i nakon potvrđivanja optužnice. Kontrola opravdanosti pritvora se vrši po isteku svaka dva mjeseca od dana donošenja posljednjeg rješenja o pritvoru. Žalba protiv ovog rješenja ne zadržava njegovo izvršenje; (2) Nakon potvrđivanja optužnice i prije izricanja prvostepene presude, pritvor može trajati najduže: .... </w:t>
      </w:r>
      <w:r w:rsidRPr="002E326A">
        <w:rPr>
          <w:rFonts w:ascii="Arial" w:eastAsia="Calibri" w:hAnsi="Arial" w:cs="Arial"/>
          <w:b/>
          <w:bCs/>
          <w:i/>
          <w:iCs/>
        </w:rPr>
        <w:t>c) dvije godine u slučaju krivičnog djela za koje je propisana kazna zatvora preko deset godina, ali ne i kazna dugotrajnog zatvora ....</w:t>
      </w:r>
      <w:r w:rsidRPr="002E326A">
        <w:rPr>
          <w:rFonts w:ascii="Arial" w:eastAsia="Calibri" w:hAnsi="Arial" w:cs="Arial"/>
          <w:i/>
          <w:iCs/>
        </w:rPr>
        <w:t>“</w:t>
      </w:r>
    </w:p>
    <w:p w14:paraId="7D27B10E" w14:textId="77777777" w:rsidR="002E326A" w:rsidRPr="002E326A" w:rsidRDefault="002E326A" w:rsidP="002E326A">
      <w:pPr>
        <w:widowControl w:val="0"/>
        <w:tabs>
          <w:tab w:val="left" w:pos="8220"/>
        </w:tabs>
        <w:autoSpaceDE w:val="0"/>
        <w:autoSpaceDN w:val="0"/>
        <w:adjustRightInd w:val="0"/>
        <w:spacing w:line="360" w:lineRule="auto"/>
        <w:ind w:left="-144" w:right="-288"/>
        <w:jc w:val="both"/>
        <w:rPr>
          <w:rFonts w:ascii="Arial" w:eastAsia="Calibri" w:hAnsi="Arial" w:cs="Arial"/>
        </w:rPr>
      </w:pPr>
    </w:p>
    <w:p w14:paraId="4EF77BF2" w14:textId="7137EFE9" w:rsidR="002E326A" w:rsidRPr="002E326A" w:rsidRDefault="002E326A" w:rsidP="002E326A">
      <w:pPr>
        <w:widowControl w:val="0"/>
        <w:tabs>
          <w:tab w:val="left" w:pos="8220"/>
        </w:tabs>
        <w:autoSpaceDE w:val="0"/>
        <w:autoSpaceDN w:val="0"/>
        <w:adjustRightInd w:val="0"/>
        <w:spacing w:line="360" w:lineRule="auto"/>
        <w:ind w:left="-144" w:right="-288"/>
        <w:jc w:val="both"/>
        <w:rPr>
          <w:rFonts w:ascii="Arial" w:eastAsia="Calibri" w:hAnsi="Arial" w:cs="Arial"/>
        </w:rPr>
      </w:pPr>
      <w:r w:rsidRPr="002E326A">
        <w:rPr>
          <w:rFonts w:ascii="Arial" w:eastAsia="Calibri" w:hAnsi="Arial" w:cs="Arial"/>
        </w:rPr>
        <w:t xml:space="preserve">U tom smislu, </w:t>
      </w:r>
      <w:r>
        <w:rPr>
          <w:rFonts w:ascii="Arial" w:eastAsia="Calibri" w:hAnsi="Arial" w:cs="Arial"/>
        </w:rPr>
        <w:t>V</w:t>
      </w:r>
      <w:r w:rsidRPr="002E326A">
        <w:rPr>
          <w:rFonts w:ascii="Arial" w:eastAsia="Calibri" w:hAnsi="Arial" w:cs="Arial"/>
        </w:rPr>
        <w:t xml:space="preserve">ijeće </w:t>
      </w:r>
      <w:r>
        <w:rPr>
          <w:rFonts w:ascii="Arial" w:eastAsia="Calibri" w:hAnsi="Arial" w:cs="Arial"/>
        </w:rPr>
        <w:t>je imalo u vidu</w:t>
      </w:r>
      <w:r w:rsidRPr="002E326A">
        <w:rPr>
          <w:rFonts w:ascii="Arial" w:eastAsia="Calibri" w:hAnsi="Arial" w:cs="Arial"/>
        </w:rPr>
        <w:t xml:space="preserve"> da se potvrđenom optužnicom optuženom na teret stavljaju krivična djela koja ispunjavaju uslov u pogledu visine kazne zatvora propisane odredbama </w:t>
      </w:r>
      <w:r w:rsidRPr="002E326A">
        <w:rPr>
          <w:rFonts w:ascii="Arial" w:eastAsia="Calibri" w:hAnsi="Arial" w:cs="Arial"/>
        </w:rPr>
        <w:lastRenderedPageBreak/>
        <w:t xml:space="preserve">materijalnog zakona. </w:t>
      </w:r>
      <w:r>
        <w:rPr>
          <w:rFonts w:ascii="Arial" w:eastAsia="Calibri" w:hAnsi="Arial" w:cs="Arial"/>
        </w:rPr>
        <w:t>Također, Vijeće ističe</w:t>
      </w:r>
      <w:r w:rsidRPr="002E326A">
        <w:rPr>
          <w:rFonts w:ascii="Arial" w:eastAsia="Calibri" w:hAnsi="Arial" w:cs="Arial"/>
        </w:rPr>
        <w:t xml:space="preserve"> da će se kontrola mjere pritvora, na temelju odredbe člana 137. stav 1. ZKP</w:t>
      </w:r>
      <w:r>
        <w:rPr>
          <w:rFonts w:ascii="Arial" w:eastAsia="Calibri" w:hAnsi="Arial" w:cs="Arial"/>
        </w:rPr>
        <w:t xml:space="preserve"> </w:t>
      </w:r>
      <w:r w:rsidRPr="002E326A">
        <w:rPr>
          <w:rFonts w:ascii="Arial" w:eastAsia="Calibri" w:hAnsi="Arial" w:cs="Arial"/>
        </w:rPr>
        <w:t xml:space="preserve">BiH vršiti svaka dva mjeseca, kao i da će Sud u nastavku ovog postupka voditi računa o </w:t>
      </w:r>
      <w:r>
        <w:rPr>
          <w:rFonts w:ascii="Arial" w:eastAsia="Calibri" w:hAnsi="Arial" w:cs="Arial"/>
        </w:rPr>
        <w:t>daljom opravdanosti</w:t>
      </w:r>
      <w:r w:rsidRPr="002E326A">
        <w:rPr>
          <w:rFonts w:ascii="Arial" w:eastAsia="Calibri" w:hAnsi="Arial" w:cs="Arial"/>
        </w:rPr>
        <w:t xml:space="preserve"> ove najstrože mjere za obezbjeđenje prisustva</w:t>
      </w:r>
      <w:r>
        <w:rPr>
          <w:rFonts w:ascii="Arial" w:eastAsia="Calibri" w:hAnsi="Arial" w:cs="Arial"/>
        </w:rPr>
        <w:t xml:space="preserve"> optuženog</w:t>
      </w:r>
      <w:r w:rsidRPr="002E326A">
        <w:rPr>
          <w:rFonts w:ascii="Arial" w:eastAsia="Calibri" w:hAnsi="Arial" w:cs="Arial"/>
        </w:rPr>
        <w:t xml:space="preserve"> i uspješnog vođenja </w:t>
      </w:r>
      <w:r>
        <w:rPr>
          <w:rFonts w:ascii="Arial" w:eastAsia="Calibri" w:hAnsi="Arial" w:cs="Arial"/>
        </w:rPr>
        <w:t xml:space="preserve">krivičnog </w:t>
      </w:r>
      <w:r w:rsidRPr="002E326A">
        <w:rPr>
          <w:rFonts w:ascii="Arial" w:eastAsia="Calibri" w:hAnsi="Arial" w:cs="Arial"/>
        </w:rPr>
        <w:t>postupka.</w:t>
      </w:r>
    </w:p>
    <w:p w14:paraId="44959AC3" w14:textId="77777777" w:rsidR="002E326A" w:rsidRPr="002E326A" w:rsidRDefault="002E326A" w:rsidP="002E326A">
      <w:pPr>
        <w:widowControl w:val="0"/>
        <w:tabs>
          <w:tab w:val="left" w:pos="8220"/>
        </w:tabs>
        <w:autoSpaceDE w:val="0"/>
        <w:autoSpaceDN w:val="0"/>
        <w:adjustRightInd w:val="0"/>
        <w:spacing w:line="360" w:lineRule="auto"/>
        <w:ind w:left="-144" w:right="-288"/>
        <w:jc w:val="both"/>
        <w:rPr>
          <w:rFonts w:ascii="Arial" w:eastAsia="Calibri" w:hAnsi="Arial" w:cs="Arial"/>
        </w:rPr>
      </w:pPr>
    </w:p>
    <w:p w14:paraId="589E5220" w14:textId="22CD47D7" w:rsidR="00560857" w:rsidRPr="00347A66" w:rsidRDefault="00560857" w:rsidP="00AD4958">
      <w:pPr>
        <w:widowControl w:val="0"/>
        <w:tabs>
          <w:tab w:val="left" w:pos="9450"/>
        </w:tabs>
        <w:autoSpaceDE w:val="0"/>
        <w:autoSpaceDN w:val="0"/>
        <w:adjustRightInd w:val="0"/>
        <w:spacing w:line="360" w:lineRule="auto"/>
        <w:ind w:left="-144" w:right="-288"/>
        <w:jc w:val="both"/>
        <w:rPr>
          <w:rFonts w:ascii="Arial" w:hAnsi="Arial" w:cs="Arial"/>
          <w:lang w:eastAsia="bs-Latn-BA"/>
        </w:rPr>
      </w:pPr>
      <w:r w:rsidRPr="00347A66">
        <w:rPr>
          <w:rFonts w:ascii="Arial" w:eastAsia="Calibri" w:hAnsi="Arial" w:cs="Arial"/>
        </w:rPr>
        <w:t xml:space="preserve">Konačno, </w:t>
      </w:r>
      <w:r w:rsidRPr="00347A66">
        <w:rPr>
          <w:rFonts w:ascii="Arial" w:hAnsi="Arial" w:cs="Arial"/>
          <w:lang w:eastAsia="bs-Latn-BA"/>
        </w:rPr>
        <w:t>Vijeće je po službenoj dužnosti, razmotrilo i mogućnost primjene blažih mjera zabrane kojima bi se omogućilo neometano vođenje krivičnog postupka u skladu sa odredbama člana 123. stav 2. ZKP</w:t>
      </w:r>
      <w:r w:rsidR="002E326A">
        <w:rPr>
          <w:rFonts w:ascii="Arial" w:hAnsi="Arial" w:cs="Arial"/>
          <w:lang w:eastAsia="bs-Latn-BA"/>
        </w:rPr>
        <w:t xml:space="preserve"> </w:t>
      </w:r>
      <w:r w:rsidRPr="00347A66">
        <w:rPr>
          <w:rFonts w:ascii="Arial" w:hAnsi="Arial" w:cs="Arial"/>
          <w:lang w:eastAsia="bs-Latn-BA"/>
        </w:rPr>
        <w:t>BiH i člana 5. stav 3. Evropske konvencije o ljudskim pravima i temeljnim slobodama</w:t>
      </w:r>
      <w:r w:rsidR="002E326A">
        <w:rPr>
          <w:rFonts w:ascii="Arial" w:hAnsi="Arial" w:cs="Arial"/>
          <w:lang w:eastAsia="bs-Latn-BA"/>
        </w:rPr>
        <w:t xml:space="preserve">, nalazeći </w:t>
      </w:r>
      <w:r w:rsidRPr="00347A66">
        <w:rPr>
          <w:rFonts w:ascii="Arial" w:hAnsi="Arial" w:cs="Arial"/>
          <w:lang w:eastAsia="bs-Latn-BA"/>
        </w:rPr>
        <w:t xml:space="preserve">da </w:t>
      </w:r>
      <w:r w:rsidR="002E326A">
        <w:rPr>
          <w:rFonts w:ascii="Arial" w:eastAsia="Calibri" w:hAnsi="Arial" w:cs="Arial"/>
          <w:lang w:val="hr-HR"/>
        </w:rPr>
        <w:t xml:space="preserve">se </w:t>
      </w:r>
      <w:r w:rsidR="002E326A" w:rsidRPr="00C27972">
        <w:rPr>
          <w:rFonts w:ascii="Arial" w:eastAsia="Calibri" w:hAnsi="Arial" w:cs="Arial"/>
          <w:lang w:val="hr-HR"/>
        </w:rPr>
        <w:t xml:space="preserve">u konkretnom </w:t>
      </w:r>
      <w:r w:rsidR="002E326A">
        <w:rPr>
          <w:rFonts w:ascii="Arial" w:eastAsia="Calibri" w:hAnsi="Arial" w:cs="Arial"/>
          <w:lang w:val="hr-HR"/>
        </w:rPr>
        <w:t>slučaju</w:t>
      </w:r>
      <w:r w:rsidR="00CD4635">
        <w:rPr>
          <w:rFonts w:ascii="Arial" w:eastAsia="Calibri" w:hAnsi="Arial" w:cs="Arial"/>
          <w:lang w:val="hr-HR"/>
        </w:rPr>
        <w:t xml:space="preserve"> </w:t>
      </w:r>
      <w:r w:rsidR="002E326A" w:rsidRPr="00C27972">
        <w:rPr>
          <w:rFonts w:ascii="Arial" w:eastAsia="Calibri" w:hAnsi="Arial" w:cs="Arial"/>
          <w:lang w:val="hr-HR"/>
        </w:rPr>
        <w:t>svrha uspješnog vođenja krivičnog postupka</w:t>
      </w:r>
      <w:r w:rsidR="00CD4635">
        <w:rPr>
          <w:rFonts w:ascii="Arial" w:eastAsia="Calibri" w:hAnsi="Arial" w:cs="Arial"/>
          <w:lang w:val="hr-HR"/>
        </w:rPr>
        <w:t xml:space="preserve">, odnosno, obezbjeđenje prisustva optuženog u daljem toku postupka, </w:t>
      </w:r>
      <w:r w:rsidR="002E326A" w:rsidRPr="00C27972">
        <w:rPr>
          <w:rFonts w:ascii="Arial" w:eastAsia="Calibri" w:hAnsi="Arial" w:cs="Arial"/>
          <w:lang w:val="hr-HR"/>
        </w:rPr>
        <w:t xml:space="preserve">može </w:t>
      </w:r>
      <w:r w:rsidR="002E326A">
        <w:rPr>
          <w:rFonts w:ascii="Arial" w:eastAsia="Calibri" w:hAnsi="Arial" w:cs="Arial"/>
          <w:lang w:val="hr-HR"/>
        </w:rPr>
        <w:t>postići samo mjerom pritvora i da</w:t>
      </w:r>
      <w:r w:rsidR="002E326A" w:rsidRPr="00C27972">
        <w:rPr>
          <w:rFonts w:ascii="Arial" w:eastAsia="Calibri" w:hAnsi="Arial" w:cs="Arial"/>
          <w:lang w:val="hr-HR"/>
        </w:rPr>
        <w:t xml:space="preserve"> niti jedna druga, blaža mjera, u ovom slučaju i u ovoj fazi krivičnog postupka ne bi bila svrsishodna</w:t>
      </w:r>
      <w:r w:rsidR="002E326A">
        <w:rPr>
          <w:rFonts w:ascii="Arial" w:eastAsia="Calibri" w:hAnsi="Arial" w:cs="Arial"/>
          <w:lang w:val="hr-HR"/>
        </w:rPr>
        <w:t>,</w:t>
      </w:r>
      <w:r w:rsidR="00CD4635">
        <w:rPr>
          <w:rFonts w:ascii="Arial" w:eastAsia="Calibri" w:hAnsi="Arial" w:cs="Arial"/>
          <w:lang w:val="hr-HR"/>
        </w:rPr>
        <w:t xml:space="preserve"> o čemu je</w:t>
      </w:r>
      <w:r w:rsidR="002E326A">
        <w:rPr>
          <w:rFonts w:ascii="Arial" w:eastAsia="Calibri" w:hAnsi="Arial" w:cs="Arial"/>
          <w:lang w:val="hr-HR"/>
        </w:rPr>
        <w:t xml:space="preserve"> je Vijeće prethodno</w:t>
      </w:r>
      <w:r w:rsidR="00061C52">
        <w:rPr>
          <w:rFonts w:ascii="Arial" w:eastAsia="Calibri" w:hAnsi="Arial" w:cs="Arial"/>
          <w:lang w:val="hr-HR"/>
        </w:rPr>
        <w:t xml:space="preserve"> </w:t>
      </w:r>
      <w:r w:rsidR="00CD4635">
        <w:rPr>
          <w:rFonts w:ascii="Arial" w:eastAsia="Calibri" w:hAnsi="Arial" w:cs="Arial"/>
          <w:lang w:val="hr-HR"/>
        </w:rPr>
        <w:t>dalo detaljne razloge</w:t>
      </w:r>
      <w:r w:rsidR="002E326A">
        <w:rPr>
          <w:rFonts w:ascii="Arial" w:eastAsia="Calibri" w:hAnsi="Arial" w:cs="Arial"/>
          <w:lang w:val="hr-HR"/>
        </w:rPr>
        <w:t>.</w:t>
      </w:r>
    </w:p>
    <w:p w14:paraId="4CC16CFE" w14:textId="77777777" w:rsidR="00560857" w:rsidRPr="00347A66" w:rsidRDefault="00560857" w:rsidP="00AD4958">
      <w:pPr>
        <w:spacing w:line="360" w:lineRule="auto"/>
        <w:ind w:left="-144" w:right="-288"/>
        <w:jc w:val="both"/>
        <w:rPr>
          <w:rFonts w:ascii="Arial" w:hAnsi="Arial" w:cs="Arial"/>
        </w:rPr>
      </w:pPr>
    </w:p>
    <w:p w14:paraId="6F9B1467" w14:textId="3A6B6F20" w:rsidR="002E326A" w:rsidRPr="002E326A" w:rsidRDefault="002E326A" w:rsidP="002E326A">
      <w:pPr>
        <w:spacing w:line="360" w:lineRule="auto"/>
        <w:ind w:left="-144" w:right="-288"/>
        <w:jc w:val="both"/>
        <w:rPr>
          <w:rFonts w:ascii="Arial" w:hAnsi="Arial" w:cs="Arial"/>
        </w:rPr>
      </w:pPr>
      <w:r w:rsidRPr="002E326A">
        <w:rPr>
          <w:rFonts w:ascii="Arial" w:hAnsi="Arial" w:cs="Arial"/>
        </w:rPr>
        <w:t xml:space="preserve">Slijedom navedenog, </w:t>
      </w:r>
      <w:r>
        <w:rPr>
          <w:rFonts w:ascii="Arial" w:hAnsi="Arial" w:cs="Arial"/>
        </w:rPr>
        <w:t>Vijeće</w:t>
      </w:r>
      <w:r w:rsidRPr="002E326A">
        <w:rPr>
          <w:rFonts w:ascii="Arial" w:hAnsi="Arial" w:cs="Arial"/>
        </w:rPr>
        <w:t xml:space="preserve"> je odluči</w:t>
      </w:r>
      <w:r>
        <w:rPr>
          <w:rFonts w:ascii="Arial" w:hAnsi="Arial" w:cs="Arial"/>
        </w:rPr>
        <w:t>l</w:t>
      </w:r>
      <w:r w:rsidRPr="002E326A">
        <w:rPr>
          <w:rFonts w:ascii="Arial" w:hAnsi="Arial" w:cs="Arial"/>
        </w:rPr>
        <w:t>o kao u dispozitivu.</w:t>
      </w:r>
    </w:p>
    <w:p w14:paraId="5B793FC4" w14:textId="77777777" w:rsidR="002E326A" w:rsidRDefault="002E326A" w:rsidP="002E326A">
      <w:pPr>
        <w:spacing w:line="360" w:lineRule="auto"/>
        <w:ind w:left="-144" w:right="-288"/>
        <w:jc w:val="both"/>
        <w:rPr>
          <w:rFonts w:ascii="Arial" w:hAnsi="Arial" w:cs="Arial"/>
          <w:b/>
          <w:bCs/>
          <w:iCs/>
        </w:rPr>
      </w:pPr>
      <w:r>
        <w:rPr>
          <w:rFonts w:ascii="Arial" w:hAnsi="Arial" w:cs="Arial"/>
          <w:b/>
          <w:bCs/>
          <w:iCs/>
        </w:rPr>
        <w:t xml:space="preserve">                                                                                                              </w:t>
      </w:r>
    </w:p>
    <w:p w14:paraId="0FEF3273" w14:textId="14AB8A09" w:rsidR="002E326A" w:rsidRPr="00347A66" w:rsidRDefault="002E326A" w:rsidP="002E326A">
      <w:pPr>
        <w:spacing w:line="360" w:lineRule="auto"/>
        <w:ind w:left="6336" w:right="-288" w:firstLine="864"/>
        <w:jc w:val="both"/>
        <w:rPr>
          <w:rFonts w:ascii="Arial" w:hAnsi="Arial" w:cs="Arial"/>
          <w:b/>
          <w:bCs/>
          <w:iCs/>
        </w:rPr>
      </w:pPr>
      <w:r>
        <w:rPr>
          <w:rFonts w:ascii="Arial" w:hAnsi="Arial" w:cs="Arial"/>
          <w:b/>
          <w:bCs/>
          <w:iCs/>
        </w:rPr>
        <w:t xml:space="preserve"> </w:t>
      </w:r>
      <w:r w:rsidRPr="00347A66">
        <w:rPr>
          <w:rFonts w:ascii="Arial" w:hAnsi="Arial" w:cs="Arial"/>
          <w:b/>
          <w:bCs/>
          <w:iCs/>
        </w:rPr>
        <w:t>PREDSJEDNIK VIJEĆA</w:t>
      </w:r>
    </w:p>
    <w:p w14:paraId="666F13DB" w14:textId="7AAA84CA" w:rsidR="002E326A" w:rsidRPr="00347A66" w:rsidRDefault="002E326A" w:rsidP="002E326A">
      <w:pPr>
        <w:spacing w:line="360" w:lineRule="auto"/>
        <w:ind w:left="-144" w:right="-288"/>
        <w:jc w:val="both"/>
        <w:rPr>
          <w:rFonts w:ascii="Arial" w:hAnsi="Arial" w:cs="Arial"/>
          <w:b/>
          <w:bCs/>
          <w:iCs/>
        </w:rPr>
      </w:pPr>
      <w:r w:rsidRPr="00347A66">
        <w:rPr>
          <w:rFonts w:ascii="Arial" w:hAnsi="Arial" w:cs="Arial"/>
          <w:b/>
          <w:bCs/>
          <w:iCs/>
        </w:rPr>
        <w:t xml:space="preserve">                                                                                                  </w:t>
      </w:r>
      <w:r>
        <w:rPr>
          <w:rFonts w:ascii="Arial" w:hAnsi="Arial" w:cs="Arial"/>
          <w:b/>
          <w:bCs/>
          <w:iCs/>
        </w:rPr>
        <w:t xml:space="preserve">                          </w:t>
      </w:r>
      <w:r w:rsidRPr="00347A66">
        <w:rPr>
          <w:rFonts w:ascii="Arial" w:hAnsi="Arial" w:cs="Arial"/>
          <w:b/>
          <w:bCs/>
          <w:iCs/>
        </w:rPr>
        <w:t xml:space="preserve">SUDIJA </w:t>
      </w:r>
    </w:p>
    <w:p w14:paraId="4E59AD99" w14:textId="77777777" w:rsidR="002E326A" w:rsidRPr="00347A66" w:rsidRDefault="002E326A" w:rsidP="002E326A">
      <w:pPr>
        <w:spacing w:line="360" w:lineRule="auto"/>
        <w:ind w:right="-288"/>
        <w:jc w:val="both"/>
        <w:rPr>
          <w:rFonts w:ascii="Arial" w:hAnsi="Arial" w:cs="Arial"/>
          <w:b/>
          <w:bCs/>
          <w:iCs/>
        </w:rPr>
      </w:pPr>
    </w:p>
    <w:p w14:paraId="75BC4757" w14:textId="7AB5347D" w:rsidR="00560857" w:rsidRPr="002E326A" w:rsidRDefault="002E326A" w:rsidP="002E326A">
      <w:pPr>
        <w:spacing w:line="360" w:lineRule="auto"/>
        <w:ind w:left="-144" w:right="-288"/>
        <w:jc w:val="both"/>
        <w:rPr>
          <w:rFonts w:ascii="Arial" w:eastAsia="Arial Unicode MS" w:hAnsi="Arial" w:cs="Arial"/>
        </w:rPr>
      </w:pPr>
      <w:r w:rsidRPr="00347A66">
        <w:rPr>
          <w:rFonts w:ascii="Arial" w:hAnsi="Arial" w:cs="Arial"/>
          <w:b/>
          <w:bCs/>
          <w:iCs/>
        </w:rPr>
        <w:t xml:space="preserve">                                                                                        </w:t>
      </w:r>
      <w:r>
        <w:rPr>
          <w:rFonts w:ascii="Arial" w:hAnsi="Arial" w:cs="Arial"/>
          <w:b/>
          <w:bCs/>
          <w:iCs/>
        </w:rPr>
        <w:t xml:space="preserve">                               </w:t>
      </w:r>
      <w:r w:rsidRPr="00347A66">
        <w:rPr>
          <w:rFonts w:ascii="Arial" w:hAnsi="Arial" w:cs="Arial"/>
          <w:b/>
          <w:bCs/>
          <w:iCs/>
        </w:rPr>
        <w:t xml:space="preserve"> </w:t>
      </w:r>
      <w:r>
        <w:rPr>
          <w:rFonts w:ascii="Arial" w:hAnsi="Arial" w:cs="Arial"/>
          <w:b/>
          <w:bCs/>
          <w:iCs/>
        </w:rPr>
        <w:t>Minka Kreho</w:t>
      </w:r>
    </w:p>
    <w:p w14:paraId="5309BCD4" w14:textId="77777777" w:rsidR="00560857" w:rsidRPr="00347A66" w:rsidRDefault="00560857" w:rsidP="00AD4958">
      <w:pPr>
        <w:tabs>
          <w:tab w:val="left" w:pos="9639"/>
        </w:tabs>
        <w:spacing w:line="360" w:lineRule="auto"/>
        <w:ind w:left="-144" w:right="-288"/>
        <w:rPr>
          <w:rFonts w:ascii="Arial" w:hAnsi="Arial" w:cs="Arial"/>
          <w:b/>
          <w:noProof/>
        </w:rPr>
      </w:pPr>
    </w:p>
    <w:p w14:paraId="379E0455" w14:textId="77777777" w:rsidR="00560857" w:rsidRPr="00347A66" w:rsidRDefault="00560857" w:rsidP="00AD4958">
      <w:pPr>
        <w:tabs>
          <w:tab w:val="left" w:pos="9639"/>
        </w:tabs>
        <w:spacing w:line="360" w:lineRule="auto"/>
        <w:ind w:left="-144" w:right="-288"/>
        <w:rPr>
          <w:rFonts w:ascii="Arial" w:hAnsi="Arial" w:cs="Arial"/>
          <w:b/>
          <w:noProof/>
        </w:rPr>
      </w:pPr>
    </w:p>
    <w:p w14:paraId="4418F942" w14:textId="704093C8" w:rsidR="00560857" w:rsidRPr="00347A66" w:rsidRDefault="00560857" w:rsidP="00AD4958">
      <w:pPr>
        <w:tabs>
          <w:tab w:val="left" w:pos="9639"/>
        </w:tabs>
        <w:spacing w:line="360" w:lineRule="auto"/>
        <w:ind w:left="-144" w:right="-288"/>
        <w:rPr>
          <w:rFonts w:ascii="Arial" w:hAnsi="Arial" w:cs="Arial"/>
          <w:bCs/>
          <w:noProof/>
        </w:rPr>
      </w:pPr>
      <w:r w:rsidRPr="00347A66">
        <w:rPr>
          <w:rFonts w:ascii="Arial" w:hAnsi="Arial" w:cs="Arial"/>
          <w:b/>
          <w:noProof/>
        </w:rPr>
        <w:t xml:space="preserve">POUKA O PRAVNOM LIJEKU: </w:t>
      </w:r>
      <w:r w:rsidRPr="00347A66">
        <w:rPr>
          <w:rFonts w:ascii="Arial" w:hAnsi="Arial" w:cs="Arial"/>
          <w:noProof/>
        </w:rPr>
        <w:t xml:space="preserve">Protiv ovog rješenja dozvoljena je žalba </w:t>
      </w:r>
      <w:r w:rsidR="002E326A">
        <w:rPr>
          <w:rFonts w:ascii="Arial" w:hAnsi="Arial" w:cs="Arial"/>
          <w:noProof/>
        </w:rPr>
        <w:t xml:space="preserve">vijeću </w:t>
      </w:r>
      <w:r w:rsidRPr="00347A66">
        <w:rPr>
          <w:rFonts w:ascii="Arial" w:hAnsi="Arial" w:cs="Arial"/>
          <w:noProof/>
        </w:rPr>
        <w:t>Apelaciono</w:t>
      </w:r>
      <w:r w:rsidR="002E326A">
        <w:rPr>
          <w:rFonts w:ascii="Arial" w:hAnsi="Arial" w:cs="Arial"/>
          <w:noProof/>
        </w:rPr>
        <w:t>g odjeljenja</w:t>
      </w:r>
      <w:r w:rsidRPr="00347A66">
        <w:rPr>
          <w:rFonts w:ascii="Arial" w:hAnsi="Arial" w:cs="Arial"/>
          <w:noProof/>
        </w:rPr>
        <w:t xml:space="preserve"> ovog Suda u roku od 3 (tri) dana od dana prijema rješenja.</w:t>
      </w:r>
    </w:p>
    <w:p w14:paraId="4F224AA9" w14:textId="77777777" w:rsidR="00560857" w:rsidRPr="00347A66" w:rsidRDefault="00560857" w:rsidP="002E326A">
      <w:pPr>
        <w:spacing w:line="360" w:lineRule="auto"/>
        <w:ind w:right="-288"/>
        <w:rPr>
          <w:color w:val="FF0000"/>
        </w:rPr>
      </w:pPr>
    </w:p>
    <w:sectPr w:rsidR="00560857" w:rsidRPr="00347A66" w:rsidSect="00551F27">
      <w:headerReference w:type="default" r:id="rId8"/>
      <w:footerReference w:type="even" r:id="rId9"/>
      <w:footerReference w:type="default" r:id="rId10"/>
      <w:headerReference w:type="first" r:id="rId11"/>
      <w:footerReference w:type="first" r:id="rId12"/>
      <w:pgSz w:w="11909" w:h="16834" w:code="9"/>
      <w:pgMar w:top="1140" w:right="1140" w:bottom="1140" w:left="11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3346" w14:textId="77777777" w:rsidR="00327751" w:rsidRDefault="00327751" w:rsidP="00560857">
      <w:r>
        <w:separator/>
      </w:r>
    </w:p>
  </w:endnote>
  <w:endnote w:type="continuationSeparator" w:id="0">
    <w:p w14:paraId="36008E6D" w14:textId="77777777" w:rsidR="00327751" w:rsidRDefault="00327751" w:rsidP="0056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PP">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498D" w14:textId="77777777" w:rsidR="00980958" w:rsidRDefault="00546FA3" w:rsidP="00E22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F09D36" w14:textId="77777777" w:rsidR="00980958" w:rsidRDefault="00680847" w:rsidP="00CC34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D0E8" w14:textId="77777777" w:rsidR="00980958" w:rsidRPr="001225C4" w:rsidRDefault="00546FA3" w:rsidP="001225C4">
    <w:pPr>
      <w:pStyle w:val="Footer"/>
      <w:framePr w:wrap="around" w:vAnchor="text" w:hAnchor="page" w:x="10636" w:y="67"/>
      <w:rPr>
        <w:rStyle w:val="PageNumber"/>
        <w:rFonts w:ascii="Arial" w:hAnsi="Arial" w:cs="Arial"/>
      </w:rPr>
    </w:pPr>
    <w:r w:rsidRPr="001225C4">
      <w:rPr>
        <w:rStyle w:val="PageNumber"/>
        <w:rFonts w:ascii="Arial" w:hAnsi="Arial" w:cs="Arial"/>
      </w:rPr>
      <w:fldChar w:fldCharType="begin"/>
    </w:r>
    <w:r w:rsidRPr="001225C4">
      <w:rPr>
        <w:rStyle w:val="PageNumber"/>
        <w:rFonts w:ascii="Arial" w:hAnsi="Arial" w:cs="Arial"/>
      </w:rPr>
      <w:instrText xml:space="preserve">PAGE  </w:instrText>
    </w:r>
    <w:r w:rsidRPr="001225C4">
      <w:rPr>
        <w:rStyle w:val="PageNumber"/>
        <w:rFonts w:ascii="Arial" w:hAnsi="Arial" w:cs="Arial"/>
      </w:rPr>
      <w:fldChar w:fldCharType="separate"/>
    </w:r>
    <w:r w:rsidRPr="001225C4">
      <w:rPr>
        <w:rStyle w:val="PageNumber"/>
        <w:rFonts w:ascii="Arial" w:hAnsi="Arial" w:cs="Arial"/>
        <w:noProof/>
      </w:rPr>
      <w:t>8</w:t>
    </w:r>
    <w:r w:rsidRPr="001225C4">
      <w:rPr>
        <w:rStyle w:val="PageNumber"/>
        <w:rFonts w:ascii="Arial" w:hAnsi="Arial" w:cs="Arial"/>
      </w:rPr>
      <w:fldChar w:fldCharType="end"/>
    </w:r>
  </w:p>
  <w:p w14:paraId="1B121ACB" w14:textId="77777777" w:rsidR="00980958" w:rsidRDefault="00680847" w:rsidP="00CC34F4">
    <w:pPr>
      <w:ind w:right="360"/>
      <w:jc w:val="center"/>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890"/>
    </w:tblGrid>
    <w:tr w:rsidR="00980958" w14:paraId="0811FDD9" w14:textId="77777777">
      <w:tc>
        <w:tcPr>
          <w:tcW w:w="7560" w:type="dxa"/>
          <w:tcBorders>
            <w:top w:val="nil"/>
            <w:left w:val="nil"/>
            <w:bottom w:val="nil"/>
            <w:right w:val="nil"/>
          </w:tcBorders>
        </w:tcPr>
        <w:p w14:paraId="209A8E4D" w14:textId="77777777" w:rsidR="00980958" w:rsidRPr="00551F27" w:rsidRDefault="00546FA3" w:rsidP="00853B66">
          <w:pPr>
            <w:pStyle w:val="Footer"/>
            <w:jc w:val="center"/>
            <w:rPr>
              <w:rFonts w:ascii="Arial" w:hAnsi="Arial" w:cs="Arial"/>
              <w:lang w:val="bs-Latn-BA"/>
            </w:rPr>
          </w:pPr>
          <w:r>
            <w:rPr>
              <w:rFonts w:ascii="Arial" w:hAnsi="Arial" w:cs="Arial"/>
              <w:lang w:val="bs-Latn-BA"/>
            </w:rPr>
            <w:t xml:space="preserve">                                </w:t>
          </w:r>
          <w:r w:rsidRPr="00551F27">
            <w:rPr>
              <w:rFonts w:ascii="Arial" w:hAnsi="Arial" w:cs="Arial"/>
              <w:lang w:val="bs-Latn-BA"/>
            </w:rPr>
            <w:t>Sud Bosne i Hercegovine, Sarajevo, ul. Kraljice Jelene br. 88</w:t>
          </w:r>
        </w:p>
        <w:p w14:paraId="6451EE6C" w14:textId="77777777" w:rsidR="00980958" w:rsidRPr="00551F27" w:rsidRDefault="00546FA3" w:rsidP="00853B66">
          <w:pPr>
            <w:pStyle w:val="Footer"/>
            <w:jc w:val="center"/>
            <w:rPr>
              <w:rFonts w:ascii="Arial" w:hAnsi="Arial" w:cs="Arial"/>
              <w:lang w:val="sr-Cyrl-CS"/>
            </w:rPr>
          </w:pPr>
          <w:r>
            <w:rPr>
              <w:rFonts w:ascii="Arial" w:hAnsi="Arial" w:cs="Arial"/>
              <w:lang w:val="bs-Latn-BA"/>
            </w:rPr>
            <w:t xml:space="preserve">                          </w:t>
          </w:r>
          <w:r w:rsidRPr="00551F27">
            <w:rPr>
              <w:rFonts w:ascii="Arial" w:hAnsi="Arial" w:cs="Arial"/>
              <w:lang w:val="bs-Latn-BA"/>
            </w:rPr>
            <w:t>Tel</w:t>
          </w:r>
          <w:r>
            <w:rPr>
              <w:rFonts w:ascii="Arial" w:hAnsi="Arial" w:cs="Arial"/>
              <w:lang w:val="bs-Latn-BA"/>
            </w:rPr>
            <w:t>efon</w:t>
          </w:r>
          <w:r w:rsidRPr="00551F27">
            <w:rPr>
              <w:rFonts w:ascii="Arial" w:hAnsi="Arial" w:cs="Arial"/>
              <w:lang w:val="bs-Latn-BA"/>
            </w:rPr>
            <w:t>: 033 707 100</w:t>
          </w:r>
          <w:r>
            <w:rPr>
              <w:rFonts w:ascii="Arial" w:hAnsi="Arial" w:cs="Arial"/>
              <w:lang w:val="bs-Latn-BA"/>
            </w:rPr>
            <w:t xml:space="preserve">; </w:t>
          </w:r>
          <w:r w:rsidRPr="00551F27">
            <w:rPr>
              <w:rFonts w:ascii="Arial" w:hAnsi="Arial" w:cs="Arial"/>
              <w:lang w:val="bs-Latn-BA"/>
            </w:rPr>
            <w:t>Fa</w:t>
          </w:r>
          <w:r>
            <w:rPr>
              <w:rFonts w:ascii="Arial" w:hAnsi="Arial" w:cs="Arial"/>
              <w:lang w:val="bs-Latn-BA"/>
            </w:rPr>
            <w:t>x</w:t>
          </w:r>
          <w:r w:rsidRPr="00551F27">
            <w:rPr>
              <w:rFonts w:ascii="Arial" w:hAnsi="Arial" w:cs="Arial"/>
              <w:lang w:val="bs-Latn-BA"/>
            </w:rPr>
            <w:t xml:space="preserve">: 033 707 </w:t>
          </w:r>
          <w:r>
            <w:rPr>
              <w:rFonts w:ascii="Arial" w:hAnsi="Arial" w:cs="Arial"/>
              <w:lang w:val="bs-Latn-BA"/>
            </w:rPr>
            <w:t>155</w:t>
          </w:r>
        </w:p>
        <w:p w14:paraId="363485E5" w14:textId="77777777" w:rsidR="00980958" w:rsidRDefault="00680847" w:rsidP="00853B66">
          <w:pPr>
            <w:pStyle w:val="Footer"/>
          </w:pPr>
        </w:p>
      </w:tc>
      <w:tc>
        <w:tcPr>
          <w:tcW w:w="1890" w:type="dxa"/>
          <w:tcBorders>
            <w:top w:val="nil"/>
            <w:left w:val="nil"/>
            <w:bottom w:val="nil"/>
            <w:right w:val="nil"/>
          </w:tcBorders>
        </w:tcPr>
        <w:p w14:paraId="180161CF" w14:textId="77777777" w:rsidR="00980958" w:rsidRDefault="00680847">
          <w:pPr>
            <w:pStyle w:val="Footer"/>
          </w:pPr>
        </w:p>
      </w:tc>
    </w:tr>
  </w:tbl>
  <w:p w14:paraId="3544116D" w14:textId="77777777" w:rsidR="00980958" w:rsidRDefault="00680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10E1" w14:textId="77777777" w:rsidR="00980958" w:rsidRPr="00551F27" w:rsidRDefault="00546FA3" w:rsidP="00551F27">
    <w:pPr>
      <w:pStyle w:val="Footer"/>
      <w:jc w:val="center"/>
      <w:rPr>
        <w:rFonts w:ascii="Arial" w:hAnsi="Arial" w:cs="Arial"/>
        <w:lang w:val="bs-Latn-BA"/>
      </w:rPr>
    </w:pPr>
    <w:r w:rsidRPr="00551F27">
      <w:rPr>
        <w:rFonts w:ascii="Arial" w:hAnsi="Arial" w:cs="Arial"/>
        <w:lang w:val="bs-Latn-BA"/>
      </w:rPr>
      <w:t>Sud Bosne i Hercegovine, Sarajevo, ul. Kraljice Jelene br. 88</w:t>
    </w:r>
  </w:p>
  <w:p w14:paraId="22F64C60" w14:textId="77777777" w:rsidR="00980958" w:rsidRPr="00551F27" w:rsidRDefault="00546FA3" w:rsidP="00551F27">
    <w:pPr>
      <w:pStyle w:val="Footer"/>
      <w:jc w:val="center"/>
      <w:rPr>
        <w:rFonts w:ascii="Arial" w:hAnsi="Arial" w:cs="Arial"/>
        <w:lang w:val="sr-Cyrl-CS"/>
      </w:rPr>
    </w:pPr>
    <w:r w:rsidRPr="00551F27">
      <w:rPr>
        <w:rFonts w:ascii="Arial" w:hAnsi="Arial" w:cs="Arial"/>
        <w:lang w:val="bs-Latn-BA"/>
      </w:rPr>
      <w:t>Tel</w:t>
    </w:r>
    <w:r>
      <w:rPr>
        <w:rFonts w:ascii="Arial" w:hAnsi="Arial" w:cs="Arial"/>
        <w:lang w:val="bs-Latn-BA"/>
      </w:rPr>
      <w:t>efon</w:t>
    </w:r>
    <w:r w:rsidRPr="00551F27">
      <w:rPr>
        <w:rFonts w:ascii="Arial" w:hAnsi="Arial" w:cs="Arial"/>
        <w:lang w:val="bs-Latn-BA"/>
      </w:rPr>
      <w:t>: 033 707 100</w:t>
    </w:r>
    <w:r>
      <w:rPr>
        <w:rFonts w:ascii="Arial" w:hAnsi="Arial" w:cs="Arial"/>
        <w:lang w:val="bs-Latn-BA"/>
      </w:rPr>
      <w:t xml:space="preserve">; </w:t>
    </w:r>
    <w:r w:rsidRPr="00551F27">
      <w:rPr>
        <w:rFonts w:ascii="Arial" w:hAnsi="Arial" w:cs="Arial"/>
        <w:lang w:val="bs-Latn-BA"/>
      </w:rPr>
      <w:t>Fa</w:t>
    </w:r>
    <w:r>
      <w:rPr>
        <w:rFonts w:ascii="Arial" w:hAnsi="Arial" w:cs="Arial"/>
        <w:lang w:val="bs-Latn-BA"/>
      </w:rPr>
      <w:t>x</w:t>
    </w:r>
    <w:r w:rsidRPr="00551F27">
      <w:rPr>
        <w:rFonts w:ascii="Arial" w:hAnsi="Arial" w:cs="Arial"/>
        <w:lang w:val="bs-Latn-BA"/>
      </w:rPr>
      <w:t xml:space="preserve">: 033 707 </w:t>
    </w:r>
    <w:r>
      <w:rPr>
        <w:rFonts w:ascii="Arial" w:hAnsi="Arial" w:cs="Arial"/>
        <w:lang w:val="bs-Latn-BA"/>
      </w:rPr>
      <w:t>155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BEBD" w14:textId="77777777" w:rsidR="00327751" w:rsidRDefault="00327751" w:rsidP="00560857">
      <w:r>
        <w:separator/>
      </w:r>
    </w:p>
  </w:footnote>
  <w:footnote w:type="continuationSeparator" w:id="0">
    <w:p w14:paraId="6ED001B5" w14:textId="77777777" w:rsidR="00327751" w:rsidRDefault="00327751" w:rsidP="00560857">
      <w:r>
        <w:continuationSeparator/>
      </w:r>
    </w:p>
  </w:footnote>
  <w:footnote w:id="1">
    <w:p w14:paraId="1270E363" w14:textId="5E832F57" w:rsidR="00957431" w:rsidRDefault="00957431" w:rsidP="00957431">
      <w:pPr>
        <w:pStyle w:val="FootnoteText"/>
        <w:rPr>
          <w:rFonts w:ascii="Arial" w:hAnsi="Arial" w:cs="Arial"/>
          <w:lang w:val="bs-Latn-BA"/>
        </w:rPr>
      </w:pPr>
      <w:r>
        <w:rPr>
          <w:rStyle w:val="FootnoteReference"/>
        </w:rPr>
        <w:footnoteRef/>
      </w:r>
      <w:r>
        <w:rPr>
          <w:lang w:val="bs-Latn-BA"/>
        </w:rPr>
        <w:t xml:space="preserve"> </w:t>
      </w:r>
      <w:r>
        <w:rPr>
          <w:rFonts w:ascii="Arial" w:hAnsi="Arial" w:cs="Arial"/>
          <w:sz w:val="18"/>
          <w:szCs w:val="18"/>
          <w:lang w:val="bs-Latn-BA"/>
        </w:rPr>
        <w:t xml:space="preserve">Presuda Europskog suda za ljudska prava </w:t>
      </w:r>
      <w:r w:rsidRPr="001225C4">
        <w:rPr>
          <w:rFonts w:ascii="Arial" w:hAnsi="Arial" w:cs="Arial"/>
          <w:i/>
          <w:iCs/>
          <w:sz w:val="18"/>
          <w:szCs w:val="18"/>
          <w:lang w:val="bs-Latn-BA"/>
        </w:rPr>
        <w:t>Neumeister protiv Austrije</w:t>
      </w:r>
      <w:r>
        <w:rPr>
          <w:rFonts w:ascii="Arial" w:hAnsi="Arial" w:cs="Arial"/>
          <w:sz w:val="18"/>
          <w:szCs w:val="18"/>
          <w:lang w:val="bs-Latn-BA"/>
        </w:rPr>
        <w:t xml:space="preserve"> od 27.07.1968. godine (strana 39. stav 10</w:t>
      </w:r>
      <w:r w:rsidR="001225C4">
        <w:rPr>
          <w:rFonts w:ascii="Arial" w:hAnsi="Arial" w:cs="Arial"/>
          <w:sz w:val="18"/>
          <w:szCs w:val="18"/>
          <w:lang w:val="bs-Latn-BA"/>
        </w:rPr>
        <w:t>.</w:t>
      </w:r>
      <w:r>
        <w:rPr>
          <w:rFonts w:ascii="Arial" w:hAnsi="Arial" w:cs="Arial"/>
          <w:sz w:val="18"/>
          <w:szCs w:val="18"/>
          <w:lang w:val="bs-Latn-BA"/>
        </w:rPr>
        <w:t>)</w:t>
      </w:r>
    </w:p>
  </w:footnote>
  <w:footnote w:id="2">
    <w:p w14:paraId="0FA0D3F0" w14:textId="5264B217" w:rsidR="008B6026" w:rsidRDefault="008B6026" w:rsidP="008B6026">
      <w:pPr>
        <w:pStyle w:val="FootnoteText"/>
        <w:rPr>
          <w:rFonts w:ascii="Arial" w:hAnsi="Arial" w:cs="Arial"/>
          <w:sz w:val="18"/>
          <w:szCs w:val="18"/>
          <w:lang w:val="bs-Latn-BA"/>
        </w:rPr>
      </w:pPr>
      <w:r>
        <w:rPr>
          <w:rStyle w:val="FootnoteReference"/>
          <w:rFonts w:ascii="Arial" w:hAnsi="Arial" w:cs="Arial"/>
          <w:sz w:val="18"/>
          <w:szCs w:val="18"/>
        </w:rPr>
        <w:footnoteRef/>
      </w:r>
      <w:r>
        <w:rPr>
          <w:rFonts w:ascii="Arial" w:hAnsi="Arial" w:cs="Arial"/>
          <w:sz w:val="18"/>
          <w:szCs w:val="18"/>
          <w:lang w:val="bs-Latn-BA"/>
        </w:rPr>
        <w:t xml:space="preserve"> Službena zabilješka MUP RS</w:t>
      </w:r>
      <w:r w:rsidR="001225C4">
        <w:rPr>
          <w:rFonts w:ascii="Arial" w:hAnsi="Arial" w:cs="Arial"/>
          <w:sz w:val="18"/>
          <w:szCs w:val="18"/>
          <w:lang w:val="bs-Latn-BA"/>
        </w:rPr>
        <w:t>,</w:t>
      </w:r>
      <w:r>
        <w:rPr>
          <w:rFonts w:ascii="Arial" w:hAnsi="Arial" w:cs="Arial"/>
          <w:sz w:val="18"/>
          <w:szCs w:val="18"/>
          <w:lang w:val="bs-Latn-BA"/>
        </w:rPr>
        <w:t xml:space="preserve"> broj: 03/1-616/22 od 06.07.2022. godine</w:t>
      </w:r>
    </w:p>
  </w:footnote>
  <w:footnote w:id="3">
    <w:p w14:paraId="27EF5AA8" w14:textId="3569DE5A" w:rsidR="008B6026" w:rsidRPr="00347A66" w:rsidRDefault="008B6026" w:rsidP="008B6026">
      <w:pPr>
        <w:pStyle w:val="FootnoteText"/>
        <w:spacing w:line="276" w:lineRule="auto"/>
        <w:rPr>
          <w:rFonts w:ascii="Arial" w:hAnsi="Arial" w:cs="Arial"/>
          <w:sz w:val="16"/>
          <w:szCs w:val="16"/>
          <w:lang w:val="en-US"/>
        </w:rPr>
      </w:pPr>
      <w:r>
        <w:rPr>
          <w:rStyle w:val="FootnoteReference"/>
          <w:rFonts w:ascii="Arial" w:hAnsi="Arial" w:cs="Arial"/>
          <w:sz w:val="18"/>
          <w:szCs w:val="18"/>
        </w:rPr>
        <w:footnoteRef/>
      </w:r>
      <w:r>
        <w:rPr>
          <w:rFonts w:ascii="Arial" w:hAnsi="Arial" w:cs="Arial"/>
          <w:sz w:val="18"/>
          <w:szCs w:val="18"/>
          <w:lang w:val="bs-Latn-BA"/>
        </w:rPr>
        <w:t xml:space="preserve"> </w:t>
      </w:r>
      <w:r w:rsidRPr="00347A66">
        <w:rPr>
          <w:rFonts w:ascii="Arial" w:hAnsi="Arial" w:cs="Arial"/>
          <w:sz w:val="16"/>
          <w:szCs w:val="16"/>
          <w:lang w:val="bs-Latn-BA"/>
        </w:rPr>
        <w:t xml:space="preserve">Tako je u </w:t>
      </w:r>
      <w:r w:rsidRPr="001225C4">
        <w:rPr>
          <w:rFonts w:ascii="Arial" w:hAnsi="Arial" w:cs="Arial"/>
          <w:i/>
          <w:iCs/>
          <w:sz w:val="16"/>
          <w:szCs w:val="16"/>
          <w:lang w:val="bs-Latn-BA"/>
        </w:rPr>
        <w:t>odluci Barfuss protiv Republike Češke</w:t>
      </w:r>
      <w:r w:rsidRPr="00347A66">
        <w:rPr>
          <w:rFonts w:ascii="Arial" w:hAnsi="Arial" w:cs="Arial"/>
          <w:sz w:val="16"/>
          <w:szCs w:val="16"/>
          <w:lang w:val="bs-Latn-BA"/>
        </w:rPr>
        <w:t xml:space="preserve">, (App. 35848/97) presuda od 31.3.2000. godine, kao i  </w:t>
      </w:r>
      <w:r w:rsidRPr="001225C4">
        <w:rPr>
          <w:rFonts w:ascii="Arial" w:hAnsi="Arial" w:cs="Arial"/>
          <w:i/>
          <w:iCs/>
          <w:sz w:val="16"/>
          <w:szCs w:val="16"/>
          <w:lang w:val="bs-Latn-BA"/>
        </w:rPr>
        <w:t>Mu</w:t>
      </w:r>
      <w:r w:rsidR="001225C4">
        <w:rPr>
          <w:rFonts w:ascii="Arial" w:hAnsi="Arial" w:cs="Arial"/>
          <w:i/>
          <w:iCs/>
          <w:sz w:val="16"/>
          <w:szCs w:val="16"/>
          <w:lang w:val="bs-Latn-BA"/>
        </w:rPr>
        <w:t>e</w:t>
      </w:r>
      <w:r w:rsidRPr="001225C4">
        <w:rPr>
          <w:rFonts w:ascii="Arial" w:hAnsi="Arial" w:cs="Arial"/>
          <w:i/>
          <w:iCs/>
          <w:sz w:val="16"/>
          <w:szCs w:val="16"/>
          <w:lang w:val="bs-Latn-BA"/>
        </w:rPr>
        <w:t>ller protiv Francuske</w:t>
      </w:r>
      <w:r w:rsidRPr="00347A66">
        <w:rPr>
          <w:rFonts w:ascii="Arial" w:hAnsi="Arial" w:cs="Arial"/>
          <w:sz w:val="16"/>
          <w:szCs w:val="16"/>
          <w:lang w:val="bs-Latn-BA"/>
        </w:rPr>
        <w:t>, (App. 21802/93) presuda od 17.3.1997. godine, navedeno da je prilikom odlučivanja o određivanju pritvora jedan od faktora koje treba uzeti u razmatranje i činjenica da optuženi ima kontakte u inostranstvu, koji bi mu, u slučaju da se nađe na slobodi, mogli pomoći u skrivanju ili pak bjekstvu.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55E0" w14:textId="77777777" w:rsidR="00980958" w:rsidRDefault="00680847">
    <w:pPr>
      <w:pStyle w:val="Header"/>
      <w:framePr w:wrap="around" w:vAnchor="text" w:hAnchor="margin" w:xAlign="center" w:y="1"/>
      <w:rPr>
        <w:rStyle w:val="PageNumber"/>
      </w:rPr>
    </w:pPr>
  </w:p>
  <w:p w14:paraId="60804505" w14:textId="77777777" w:rsidR="00980958" w:rsidRDefault="00680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5616" w14:textId="50D02EE8" w:rsidR="00980958" w:rsidRPr="00551F27" w:rsidRDefault="00546FA3" w:rsidP="00AD4958">
    <w:pPr>
      <w:spacing w:line="340" w:lineRule="exact"/>
      <w:ind w:right="170"/>
      <w:rPr>
        <w:rFonts w:ascii="Arial" w:hAnsi="Arial" w:cs="Arial"/>
        <w:b/>
        <w:bCs/>
        <w:lang w:val="bs-Cyrl-BA"/>
      </w:rPr>
    </w:pPr>
    <w:r w:rsidRPr="00551F27">
      <w:rPr>
        <w:rFonts w:ascii="Arial" w:hAnsi="Arial" w:cs="Arial"/>
        <w:b/>
        <w:bCs/>
      </w:rPr>
      <w:t>Bosna i Hercegovina</w:t>
    </w:r>
    <w:r w:rsidRPr="00551F27">
      <w:rPr>
        <w:rFonts w:ascii="Arial" w:hAnsi="Arial" w:cs="Arial"/>
        <w:b/>
        <w:bCs/>
      </w:rPr>
      <w:tab/>
    </w:r>
    <w:r w:rsidRPr="00551F27">
      <w:rPr>
        <w:rFonts w:ascii="Arial" w:hAnsi="Arial" w:cs="Arial"/>
        <w:b/>
        <w:bCs/>
      </w:rPr>
      <w:tab/>
    </w:r>
    <w:r w:rsidRPr="00551F27">
      <w:rPr>
        <w:rFonts w:ascii="Arial" w:hAnsi="Arial" w:cs="Arial"/>
        <w:b/>
        <w:bCs/>
      </w:rPr>
      <w:tab/>
    </w:r>
    <w:r w:rsidR="00AD4958">
      <w:rPr>
        <w:rFonts w:ascii="Arial" w:hAnsi="Arial" w:cs="Arial"/>
        <w:b/>
        <w:bCs/>
      </w:rPr>
      <w:t xml:space="preserve">                                      </w:t>
    </w:r>
    <w:r w:rsidRPr="00551F27">
      <w:rPr>
        <w:rFonts w:ascii="Arial" w:hAnsi="Arial" w:cs="Arial"/>
        <w:b/>
        <w:bCs/>
        <w:lang w:val="bs-Cyrl-BA"/>
      </w:rPr>
      <w:t>Босна и Херцеговина</w:t>
    </w:r>
  </w:p>
  <w:p w14:paraId="07722F29" w14:textId="77777777" w:rsidR="00980958" w:rsidRPr="00551F27" w:rsidRDefault="00546FA3" w:rsidP="00551F27">
    <w:pPr>
      <w:spacing w:line="340" w:lineRule="exact"/>
      <w:ind w:left="170" w:right="170"/>
      <w:rPr>
        <w:rFonts w:ascii="Arial" w:hAnsi="Arial" w:cs="Arial"/>
        <w:b/>
        <w:bCs/>
      </w:rPr>
    </w:pPr>
    <w:r w:rsidRPr="00551F27">
      <w:rPr>
        <w:rFonts w:ascii="Arial" w:hAnsi="Arial" w:cs="Arial"/>
        <w:b/>
        <w:bCs/>
        <w:noProof/>
        <w:lang w:val="en-US"/>
      </w:rPr>
      <w:drawing>
        <wp:anchor distT="0" distB="0" distL="114300" distR="114300" simplePos="0" relativeHeight="251659264" behindDoc="0" locked="0" layoutInCell="1" allowOverlap="1" wp14:anchorId="78E65F04" wp14:editId="6C73D3A2">
          <wp:simplePos x="0" y="0"/>
          <wp:positionH relativeFrom="margin">
            <wp:align>center</wp:align>
          </wp:positionH>
          <wp:positionV relativeFrom="paragraph">
            <wp:posOffset>148590</wp:posOffset>
          </wp:positionV>
          <wp:extent cx="647700" cy="800100"/>
          <wp:effectExtent l="0" t="0" r="0" b="0"/>
          <wp:wrapThrough wrapText="bothSides">
            <wp:wrapPolygon edited="0">
              <wp:start x="0" y="0"/>
              <wp:lineTo x="0" y="21086"/>
              <wp:lineTo x="20965" y="21086"/>
              <wp:lineTo x="20965" y="0"/>
              <wp:lineTo x="0" y="0"/>
            </wp:wrapPolygon>
          </wp:wrapThrough>
          <wp:docPr id="1" name="Picture 1"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Bi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pic:spPr>
              </pic:pic>
            </a:graphicData>
          </a:graphic>
          <wp14:sizeRelH relativeFrom="page">
            <wp14:pctWidth>0</wp14:pctWidth>
          </wp14:sizeRelH>
          <wp14:sizeRelV relativeFrom="page">
            <wp14:pctHeight>0</wp14:pctHeight>
          </wp14:sizeRelV>
        </wp:anchor>
      </w:drawing>
    </w:r>
  </w:p>
  <w:p w14:paraId="4287EEF8" w14:textId="77777777" w:rsidR="00980958" w:rsidRPr="00551F27" w:rsidRDefault="00680847" w:rsidP="00551F27">
    <w:pPr>
      <w:spacing w:line="340" w:lineRule="exact"/>
      <w:ind w:left="170" w:right="170"/>
      <w:rPr>
        <w:rFonts w:ascii="Arial" w:hAnsi="Arial" w:cs="Arial"/>
        <w:b/>
        <w:bCs/>
      </w:rPr>
    </w:pPr>
  </w:p>
  <w:p w14:paraId="73E766F9" w14:textId="77777777" w:rsidR="00980958" w:rsidRPr="00551F27" w:rsidRDefault="00680847" w:rsidP="00551F27">
    <w:pPr>
      <w:spacing w:line="340" w:lineRule="exact"/>
      <w:ind w:left="170" w:right="170"/>
      <w:jc w:val="center"/>
      <w:rPr>
        <w:rFonts w:ascii="Arial" w:hAnsi="Arial" w:cs="Arial"/>
        <w:b/>
        <w:bCs/>
      </w:rPr>
    </w:pPr>
  </w:p>
  <w:p w14:paraId="0F665838" w14:textId="77777777" w:rsidR="00980958" w:rsidRDefault="00680847" w:rsidP="00551F27">
    <w:pPr>
      <w:spacing w:line="340" w:lineRule="exact"/>
      <w:ind w:left="170" w:right="170"/>
      <w:jc w:val="center"/>
      <w:rPr>
        <w:rFonts w:ascii="Arial" w:hAnsi="Arial" w:cs="Arial"/>
        <w:b/>
        <w:bCs/>
      </w:rPr>
    </w:pPr>
  </w:p>
  <w:p w14:paraId="64531643" w14:textId="77777777" w:rsidR="00980958" w:rsidRDefault="00680847" w:rsidP="00551F27">
    <w:pPr>
      <w:spacing w:line="340" w:lineRule="exact"/>
      <w:ind w:left="170" w:right="170"/>
      <w:jc w:val="center"/>
      <w:rPr>
        <w:rFonts w:ascii="Arial" w:hAnsi="Arial" w:cs="Arial"/>
        <w:b/>
        <w:bCs/>
      </w:rPr>
    </w:pPr>
  </w:p>
  <w:p w14:paraId="6289F1D6" w14:textId="77777777" w:rsidR="00980958" w:rsidRPr="00551F27" w:rsidRDefault="00546FA3" w:rsidP="00551F27">
    <w:pPr>
      <w:spacing w:line="340" w:lineRule="exact"/>
      <w:ind w:left="170" w:right="170"/>
      <w:jc w:val="center"/>
      <w:rPr>
        <w:rFonts w:ascii="Arial" w:hAnsi="Arial" w:cs="Arial"/>
        <w:b/>
        <w:bCs/>
      </w:rPr>
    </w:pPr>
    <w:r w:rsidRPr="00551F27">
      <w:rPr>
        <w:rFonts w:ascii="Arial" w:hAnsi="Arial" w:cs="Arial"/>
        <w:b/>
        <w:bCs/>
      </w:rPr>
      <w:t>Sud Bosne i Hercegovine</w:t>
    </w:r>
  </w:p>
  <w:p w14:paraId="610F955A" w14:textId="77777777" w:rsidR="00980958" w:rsidRPr="00551F27" w:rsidRDefault="00546FA3" w:rsidP="00551F27">
    <w:pPr>
      <w:pBdr>
        <w:bottom w:val="single" w:sz="4" w:space="1" w:color="auto"/>
      </w:pBdr>
      <w:spacing w:line="340" w:lineRule="exact"/>
      <w:ind w:left="170" w:right="170"/>
      <w:jc w:val="center"/>
      <w:rPr>
        <w:rFonts w:ascii="Arial" w:hAnsi="Arial" w:cs="Arial"/>
        <w:b/>
      </w:rPr>
    </w:pPr>
    <w:r w:rsidRPr="00551F27">
      <w:rPr>
        <w:rFonts w:ascii="Arial" w:hAnsi="Arial" w:cs="Arial"/>
        <w:b/>
      </w:rPr>
      <w:t xml:space="preserve">Суд Босне </w:t>
    </w:r>
    <w:r w:rsidRPr="00551F27">
      <w:rPr>
        <w:rFonts w:ascii="Arial" w:hAnsi="Arial" w:cs="Arial"/>
        <w:b/>
        <w:lang w:val="bs-Cyrl-BA"/>
      </w:rPr>
      <w:t>и</w:t>
    </w:r>
    <w:r w:rsidRPr="00551F27">
      <w:rPr>
        <w:rFonts w:ascii="Arial" w:hAnsi="Arial" w:cs="Arial"/>
        <w:b/>
      </w:rPr>
      <w:t xml:space="preserve"> Херцеговине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16D22"/>
    <w:multiLevelType w:val="hybridMultilevel"/>
    <w:tmpl w:val="F0989D94"/>
    <w:lvl w:ilvl="0" w:tplc="33EC4A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57"/>
    <w:rsid w:val="00040B3F"/>
    <w:rsid w:val="000603D6"/>
    <w:rsid w:val="00061C52"/>
    <w:rsid w:val="000E687E"/>
    <w:rsid w:val="001225C4"/>
    <w:rsid w:val="0013375B"/>
    <w:rsid w:val="00145AA9"/>
    <w:rsid w:val="0018702D"/>
    <w:rsid w:val="00196513"/>
    <w:rsid w:val="00246DBA"/>
    <w:rsid w:val="00250381"/>
    <w:rsid w:val="002E0BEA"/>
    <w:rsid w:val="002E326A"/>
    <w:rsid w:val="002E7B91"/>
    <w:rsid w:val="00327751"/>
    <w:rsid w:val="0034155B"/>
    <w:rsid w:val="00347A66"/>
    <w:rsid w:val="003A168D"/>
    <w:rsid w:val="003B5F23"/>
    <w:rsid w:val="0040378B"/>
    <w:rsid w:val="004406BB"/>
    <w:rsid w:val="00445C8C"/>
    <w:rsid w:val="004D0F58"/>
    <w:rsid w:val="004D7034"/>
    <w:rsid w:val="00505A63"/>
    <w:rsid w:val="0051595C"/>
    <w:rsid w:val="00540AA6"/>
    <w:rsid w:val="00546FA3"/>
    <w:rsid w:val="00555F7E"/>
    <w:rsid w:val="00560857"/>
    <w:rsid w:val="00577389"/>
    <w:rsid w:val="0059360C"/>
    <w:rsid w:val="00600C8D"/>
    <w:rsid w:val="00605B4F"/>
    <w:rsid w:val="00621C65"/>
    <w:rsid w:val="00650EDF"/>
    <w:rsid w:val="00664DE5"/>
    <w:rsid w:val="00680847"/>
    <w:rsid w:val="006B594E"/>
    <w:rsid w:val="00715064"/>
    <w:rsid w:val="007F4D5D"/>
    <w:rsid w:val="00801BF0"/>
    <w:rsid w:val="00826FB8"/>
    <w:rsid w:val="00864DF2"/>
    <w:rsid w:val="008918E3"/>
    <w:rsid w:val="008931A0"/>
    <w:rsid w:val="008B6026"/>
    <w:rsid w:val="008F4C09"/>
    <w:rsid w:val="0095185A"/>
    <w:rsid w:val="0095431A"/>
    <w:rsid w:val="00957431"/>
    <w:rsid w:val="009A5E6F"/>
    <w:rsid w:val="009D3399"/>
    <w:rsid w:val="009D3FDA"/>
    <w:rsid w:val="00A3159B"/>
    <w:rsid w:val="00A4790B"/>
    <w:rsid w:val="00A51A92"/>
    <w:rsid w:val="00A77454"/>
    <w:rsid w:val="00A8765D"/>
    <w:rsid w:val="00AC2B11"/>
    <w:rsid w:val="00AC64B3"/>
    <w:rsid w:val="00AD4958"/>
    <w:rsid w:val="00AE5D6A"/>
    <w:rsid w:val="00AE7EB6"/>
    <w:rsid w:val="00B725C8"/>
    <w:rsid w:val="00B72A96"/>
    <w:rsid w:val="00BF4FBB"/>
    <w:rsid w:val="00C25998"/>
    <w:rsid w:val="00CD4635"/>
    <w:rsid w:val="00CF2B1C"/>
    <w:rsid w:val="00D00653"/>
    <w:rsid w:val="00D05939"/>
    <w:rsid w:val="00D2230D"/>
    <w:rsid w:val="00D32458"/>
    <w:rsid w:val="00DF3E7B"/>
    <w:rsid w:val="00E369B7"/>
    <w:rsid w:val="00E83A9E"/>
    <w:rsid w:val="00EE1049"/>
    <w:rsid w:val="00F722A6"/>
    <w:rsid w:val="00FA55F7"/>
    <w:rsid w:val="00FF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29A3"/>
  <w15:chartTrackingRefBased/>
  <w15:docId w15:val="{20531D38-654B-4F96-889C-929B357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57"/>
    <w:pPr>
      <w:spacing w:after="0" w:line="240" w:lineRule="auto"/>
    </w:pPr>
    <w:rPr>
      <w:rFonts w:ascii="Times New Roman" w:eastAsia="Times New Roman" w:hAnsi="Times New Roman" w:cs="Times New Roman"/>
      <w:sz w:val="24"/>
      <w:szCs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A,FA Fußnotentext,Footnote Text Char Char Char,Footnote Text Char Char,Footnote Text Char1,Footnote Text Char Char Char Char Char Char,Footnote Text Char Char4,Footnote Text Char2,FA3,Footnote Text Char4"/>
    <w:link w:val="FootnoteTextChar"/>
    <w:rsid w:val="00560857"/>
    <w:pPr>
      <w:tabs>
        <w:tab w:val="left" w:pos="567"/>
        <w:tab w:val="left" w:pos="851"/>
      </w:tabs>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FA Char,FA Fußnotentext Char,Footnote Text Char Char Char Char1,Footnote Text Char Char Char1,Footnote Text Char1 Char,Footnote Text Char Char Char Char Char Char Char,Footnote Text Char2 Char"/>
    <w:basedOn w:val="DefaultParagraphFont"/>
    <w:link w:val="FootnoteText"/>
    <w:rsid w:val="00560857"/>
    <w:rPr>
      <w:rFonts w:ascii="Times New Roman" w:eastAsia="Times New Roman" w:hAnsi="Times New Roman" w:cs="Times New Roman"/>
      <w:sz w:val="20"/>
      <w:szCs w:val="20"/>
      <w:lang w:val="en-GB"/>
    </w:rPr>
  </w:style>
  <w:style w:type="character" w:styleId="FootnoteReference">
    <w:name w:val="footnote reference"/>
    <w:aliases w:val="Appel note de bas de page,Appel note de bas de page Char1 Char Char Char Char Char Char Char Char,Appel note de bas de page Char Char Char Char Char Char Char Char Char Char Char Char Char Char,Appel note de bas de page Char Char"/>
    <w:link w:val="AppelnotedebasdepageChar1CharCharCharCharCharCharChar"/>
    <w:uiPriority w:val="99"/>
    <w:rsid w:val="00560857"/>
    <w:rPr>
      <w:rFonts w:ascii="Times New Roman" w:hAnsi="Times New Roman"/>
      <w:sz w:val="20"/>
      <w:vertAlign w:val="superscript"/>
    </w:rPr>
  </w:style>
  <w:style w:type="paragraph" w:styleId="Footer">
    <w:name w:val="footer"/>
    <w:link w:val="FooterChar1"/>
    <w:rsid w:val="00560857"/>
    <w:pPr>
      <w:tabs>
        <w:tab w:val="left" w:pos="228"/>
        <w:tab w:val="left" w:pos="851"/>
        <w:tab w:val="center" w:pos="4320"/>
        <w:tab w:val="right" w:pos="8640"/>
      </w:tabs>
      <w:spacing w:after="0" w:line="355" w:lineRule="auto"/>
    </w:pPr>
    <w:rPr>
      <w:rFonts w:ascii="TimesPP" w:eastAsia="Times New Roman" w:hAnsi="TimesPP" w:cs="Times New Roman"/>
      <w:sz w:val="20"/>
      <w:szCs w:val="20"/>
      <w:lang w:val="en-GB"/>
    </w:rPr>
  </w:style>
  <w:style w:type="character" w:customStyle="1" w:styleId="FooterChar">
    <w:name w:val="Footer Char"/>
    <w:basedOn w:val="DefaultParagraphFont"/>
    <w:uiPriority w:val="99"/>
    <w:semiHidden/>
    <w:rsid w:val="00560857"/>
    <w:rPr>
      <w:rFonts w:ascii="Times New Roman" w:eastAsia="Times New Roman" w:hAnsi="Times New Roman" w:cs="Times New Roman"/>
      <w:sz w:val="24"/>
      <w:szCs w:val="24"/>
      <w:lang w:val="bs-Latn-BA"/>
    </w:rPr>
  </w:style>
  <w:style w:type="character" w:customStyle="1" w:styleId="FooterChar1">
    <w:name w:val="Footer Char1"/>
    <w:link w:val="Footer"/>
    <w:rsid w:val="00560857"/>
    <w:rPr>
      <w:rFonts w:ascii="TimesPP" w:eastAsia="Times New Roman" w:hAnsi="TimesPP" w:cs="Times New Roman"/>
      <w:sz w:val="20"/>
      <w:szCs w:val="20"/>
      <w:lang w:val="en-GB"/>
    </w:rPr>
  </w:style>
  <w:style w:type="paragraph" w:styleId="Header">
    <w:name w:val="header"/>
    <w:basedOn w:val="Normal"/>
    <w:link w:val="HeaderChar"/>
    <w:rsid w:val="00560857"/>
    <w:pPr>
      <w:tabs>
        <w:tab w:val="center" w:pos="4320"/>
        <w:tab w:val="right" w:pos="8640"/>
      </w:tabs>
    </w:pPr>
  </w:style>
  <w:style w:type="character" w:customStyle="1" w:styleId="HeaderChar">
    <w:name w:val="Header Char"/>
    <w:basedOn w:val="DefaultParagraphFont"/>
    <w:link w:val="Header"/>
    <w:rsid w:val="00560857"/>
    <w:rPr>
      <w:rFonts w:ascii="Times New Roman" w:eastAsia="Times New Roman" w:hAnsi="Times New Roman" w:cs="Times New Roman"/>
      <w:sz w:val="24"/>
      <w:szCs w:val="24"/>
      <w:lang w:val="bs-Latn-BA"/>
    </w:rPr>
  </w:style>
  <w:style w:type="character" w:styleId="PageNumber">
    <w:name w:val="page number"/>
    <w:basedOn w:val="DefaultParagraphFont"/>
    <w:rsid w:val="00560857"/>
  </w:style>
  <w:style w:type="paragraph" w:customStyle="1" w:styleId="AppelnotedebasdepageChar1CharCharCharCharCharCharChar">
    <w:name w:val="Appel note de bas de page Char1 Char Char Char Char Char Char Char"/>
    <w:aliases w:val="Appel note de bas de page Char Char Char Char Char Char Char Char Char Char Char Char Char,Appel note de bas de page Char Char Char Char Char"/>
    <w:basedOn w:val="Normal"/>
    <w:link w:val="FootnoteReference"/>
    <w:uiPriority w:val="99"/>
    <w:rsid w:val="00560857"/>
    <w:rPr>
      <w:rFonts w:eastAsiaTheme="minorHAnsi" w:cstheme="minorBidi"/>
      <w:sz w:val="20"/>
      <w:szCs w:val="22"/>
      <w:vertAlign w:val="superscript"/>
      <w:lang w:val="en-US"/>
    </w:rPr>
  </w:style>
  <w:style w:type="paragraph" w:customStyle="1" w:styleId="Standard">
    <w:name w:val="Standard"/>
    <w:rsid w:val="0056085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yperlink">
    <w:name w:val="Hyperlink"/>
    <w:rsid w:val="003B5F23"/>
    <w:rPr>
      <w:color w:val="0000FF"/>
      <w:u w:val="single"/>
    </w:rPr>
  </w:style>
  <w:style w:type="character" w:customStyle="1" w:styleId="s6b621b36">
    <w:name w:val="s6b621b36"/>
    <w:rsid w:val="003B5F23"/>
  </w:style>
  <w:style w:type="paragraph" w:styleId="ListParagraph">
    <w:name w:val="List Paragraph"/>
    <w:basedOn w:val="Normal"/>
    <w:uiPriority w:val="34"/>
    <w:qFormat/>
    <w:rsid w:val="009D3FDA"/>
    <w:pPr>
      <w:ind w:left="720"/>
      <w:contextualSpacing/>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6272">
      <w:bodyDiv w:val="1"/>
      <w:marLeft w:val="0"/>
      <w:marRight w:val="0"/>
      <w:marTop w:val="0"/>
      <w:marBottom w:val="0"/>
      <w:divBdr>
        <w:top w:val="none" w:sz="0" w:space="0" w:color="auto"/>
        <w:left w:val="none" w:sz="0" w:space="0" w:color="auto"/>
        <w:bottom w:val="none" w:sz="0" w:space="0" w:color="auto"/>
        <w:right w:val="none" w:sz="0" w:space="0" w:color="auto"/>
      </w:divBdr>
    </w:div>
    <w:div w:id="227301836">
      <w:bodyDiv w:val="1"/>
      <w:marLeft w:val="0"/>
      <w:marRight w:val="0"/>
      <w:marTop w:val="0"/>
      <w:marBottom w:val="0"/>
      <w:divBdr>
        <w:top w:val="none" w:sz="0" w:space="0" w:color="auto"/>
        <w:left w:val="none" w:sz="0" w:space="0" w:color="auto"/>
        <w:bottom w:val="none" w:sz="0" w:space="0" w:color="auto"/>
        <w:right w:val="none" w:sz="0" w:space="0" w:color="auto"/>
      </w:divBdr>
    </w:div>
    <w:div w:id="368266493">
      <w:bodyDiv w:val="1"/>
      <w:marLeft w:val="0"/>
      <w:marRight w:val="0"/>
      <w:marTop w:val="0"/>
      <w:marBottom w:val="0"/>
      <w:divBdr>
        <w:top w:val="none" w:sz="0" w:space="0" w:color="auto"/>
        <w:left w:val="none" w:sz="0" w:space="0" w:color="auto"/>
        <w:bottom w:val="none" w:sz="0" w:space="0" w:color="auto"/>
        <w:right w:val="none" w:sz="0" w:space="0" w:color="auto"/>
      </w:divBdr>
    </w:div>
    <w:div w:id="484976818">
      <w:bodyDiv w:val="1"/>
      <w:marLeft w:val="0"/>
      <w:marRight w:val="0"/>
      <w:marTop w:val="0"/>
      <w:marBottom w:val="0"/>
      <w:divBdr>
        <w:top w:val="none" w:sz="0" w:space="0" w:color="auto"/>
        <w:left w:val="none" w:sz="0" w:space="0" w:color="auto"/>
        <w:bottom w:val="none" w:sz="0" w:space="0" w:color="auto"/>
        <w:right w:val="none" w:sz="0" w:space="0" w:color="auto"/>
      </w:divBdr>
    </w:div>
    <w:div w:id="644046905">
      <w:bodyDiv w:val="1"/>
      <w:marLeft w:val="0"/>
      <w:marRight w:val="0"/>
      <w:marTop w:val="0"/>
      <w:marBottom w:val="0"/>
      <w:divBdr>
        <w:top w:val="none" w:sz="0" w:space="0" w:color="auto"/>
        <w:left w:val="none" w:sz="0" w:space="0" w:color="auto"/>
        <w:bottom w:val="none" w:sz="0" w:space="0" w:color="auto"/>
        <w:right w:val="none" w:sz="0" w:space="0" w:color="auto"/>
      </w:divBdr>
    </w:div>
    <w:div w:id="686106242">
      <w:bodyDiv w:val="1"/>
      <w:marLeft w:val="0"/>
      <w:marRight w:val="0"/>
      <w:marTop w:val="0"/>
      <w:marBottom w:val="0"/>
      <w:divBdr>
        <w:top w:val="none" w:sz="0" w:space="0" w:color="auto"/>
        <w:left w:val="none" w:sz="0" w:space="0" w:color="auto"/>
        <w:bottom w:val="none" w:sz="0" w:space="0" w:color="auto"/>
        <w:right w:val="none" w:sz="0" w:space="0" w:color="auto"/>
      </w:divBdr>
    </w:div>
    <w:div w:id="727147983">
      <w:bodyDiv w:val="1"/>
      <w:marLeft w:val="0"/>
      <w:marRight w:val="0"/>
      <w:marTop w:val="0"/>
      <w:marBottom w:val="0"/>
      <w:divBdr>
        <w:top w:val="none" w:sz="0" w:space="0" w:color="auto"/>
        <w:left w:val="none" w:sz="0" w:space="0" w:color="auto"/>
        <w:bottom w:val="none" w:sz="0" w:space="0" w:color="auto"/>
        <w:right w:val="none" w:sz="0" w:space="0" w:color="auto"/>
      </w:divBdr>
    </w:div>
    <w:div w:id="799617944">
      <w:bodyDiv w:val="1"/>
      <w:marLeft w:val="0"/>
      <w:marRight w:val="0"/>
      <w:marTop w:val="0"/>
      <w:marBottom w:val="0"/>
      <w:divBdr>
        <w:top w:val="none" w:sz="0" w:space="0" w:color="auto"/>
        <w:left w:val="none" w:sz="0" w:space="0" w:color="auto"/>
        <w:bottom w:val="none" w:sz="0" w:space="0" w:color="auto"/>
        <w:right w:val="none" w:sz="0" w:space="0" w:color="auto"/>
      </w:divBdr>
    </w:div>
    <w:div w:id="993682711">
      <w:bodyDiv w:val="1"/>
      <w:marLeft w:val="0"/>
      <w:marRight w:val="0"/>
      <w:marTop w:val="0"/>
      <w:marBottom w:val="0"/>
      <w:divBdr>
        <w:top w:val="none" w:sz="0" w:space="0" w:color="auto"/>
        <w:left w:val="none" w:sz="0" w:space="0" w:color="auto"/>
        <w:bottom w:val="none" w:sz="0" w:space="0" w:color="auto"/>
        <w:right w:val="none" w:sz="0" w:space="0" w:color="auto"/>
      </w:divBdr>
    </w:div>
    <w:div w:id="1011566612">
      <w:bodyDiv w:val="1"/>
      <w:marLeft w:val="0"/>
      <w:marRight w:val="0"/>
      <w:marTop w:val="0"/>
      <w:marBottom w:val="0"/>
      <w:divBdr>
        <w:top w:val="none" w:sz="0" w:space="0" w:color="auto"/>
        <w:left w:val="none" w:sz="0" w:space="0" w:color="auto"/>
        <w:bottom w:val="none" w:sz="0" w:space="0" w:color="auto"/>
        <w:right w:val="none" w:sz="0" w:space="0" w:color="auto"/>
      </w:divBdr>
    </w:div>
    <w:div w:id="1535850368">
      <w:bodyDiv w:val="1"/>
      <w:marLeft w:val="0"/>
      <w:marRight w:val="0"/>
      <w:marTop w:val="0"/>
      <w:marBottom w:val="0"/>
      <w:divBdr>
        <w:top w:val="none" w:sz="0" w:space="0" w:color="auto"/>
        <w:left w:val="none" w:sz="0" w:space="0" w:color="auto"/>
        <w:bottom w:val="none" w:sz="0" w:space="0" w:color="auto"/>
        <w:right w:val="none" w:sz="0" w:space="0" w:color="auto"/>
      </w:divBdr>
    </w:div>
    <w:div w:id="1655837183">
      <w:bodyDiv w:val="1"/>
      <w:marLeft w:val="0"/>
      <w:marRight w:val="0"/>
      <w:marTop w:val="0"/>
      <w:marBottom w:val="0"/>
      <w:divBdr>
        <w:top w:val="none" w:sz="0" w:space="0" w:color="auto"/>
        <w:left w:val="none" w:sz="0" w:space="0" w:color="auto"/>
        <w:bottom w:val="none" w:sz="0" w:space="0" w:color="auto"/>
        <w:right w:val="none" w:sz="0" w:space="0" w:color="auto"/>
      </w:divBdr>
    </w:div>
    <w:div w:id="17835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0B21-9C82-4B9F-AFD0-9C4C0157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Kustura Colic</dc:creator>
  <cp:keywords/>
  <dc:description/>
  <cp:lastModifiedBy>Ivan Zelenović</cp:lastModifiedBy>
  <cp:revision>2</cp:revision>
  <dcterms:created xsi:type="dcterms:W3CDTF">2025-01-24T11:17:00Z</dcterms:created>
  <dcterms:modified xsi:type="dcterms:W3CDTF">2025-01-24T11:17:00Z</dcterms:modified>
</cp:coreProperties>
</file>